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23AB6" w14:textId="77777777" w:rsidR="00F40CF9" w:rsidRPr="00F40CF9" w:rsidRDefault="00F40CF9" w:rsidP="00F40CF9">
      <w:pPr>
        <w:spacing w:after="120" w:line="360" w:lineRule="auto"/>
        <w:ind w:left="567" w:right="1695"/>
        <w:rPr>
          <w:rFonts w:ascii="Arial" w:hAnsi="Arial" w:cs="Arial"/>
          <w:b/>
          <w:bCs/>
          <w:sz w:val="28"/>
          <w:szCs w:val="28"/>
        </w:rPr>
      </w:pPr>
      <w:r w:rsidRPr="00F40CF9">
        <w:rPr>
          <w:rFonts w:ascii="Arial" w:hAnsi="Arial" w:cs="Arial"/>
          <w:b/>
          <w:bCs/>
          <w:sz w:val="28"/>
          <w:szCs w:val="28"/>
        </w:rPr>
        <w:t>C-Mix-Ultra-Zinkensystem mit hydraulischer Überlastsicherung</w:t>
      </w:r>
    </w:p>
    <w:p w14:paraId="51FB1EB8" w14:textId="77777777" w:rsidR="00F40CF9" w:rsidRPr="00F40CF9" w:rsidRDefault="00F40CF9" w:rsidP="00F40CF9">
      <w:pPr>
        <w:spacing w:line="360" w:lineRule="auto"/>
        <w:ind w:left="567" w:right="1695"/>
        <w:rPr>
          <w:rFonts w:ascii="Arial" w:hAnsi="Arial" w:cs="Arial"/>
          <w:b/>
          <w:bCs/>
        </w:rPr>
      </w:pPr>
      <w:r w:rsidRPr="00F40CF9">
        <w:rPr>
          <w:rFonts w:ascii="Arial" w:hAnsi="Arial" w:cs="Arial"/>
          <w:b/>
          <w:bCs/>
        </w:rPr>
        <w:t xml:space="preserve">Hohe Einsatzsicherheit für Anhängegrubber </w:t>
      </w:r>
      <w:proofErr w:type="spellStart"/>
      <w:r w:rsidRPr="00F40CF9">
        <w:rPr>
          <w:rFonts w:ascii="Arial" w:hAnsi="Arial" w:cs="Arial"/>
          <w:b/>
          <w:bCs/>
        </w:rPr>
        <w:t>Cenius</w:t>
      </w:r>
      <w:proofErr w:type="spellEnd"/>
      <w:r w:rsidRPr="00F40CF9">
        <w:rPr>
          <w:rFonts w:ascii="Arial" w:hAnsi="Arial" w:cs="Arial"/>
          <w:b/>
          <w:bCs/>
        </w:rPr>
        <w:t xml:space="preserve"> und Scheibeneggen-Grubber-Kombination </w:t>
      </w:r>
      <w:proofErr w:type="spellStart"/>
      <w:r w:rsidRPr="00F40CF9">
        <w:rPr>
          <w:rFonts w:ascii="Arial" w:hAnsi="Arial" w:cs="Arial"/>
          <w:b/>
          <w:bCs/>
        </w:rPr>
        <w:t>Ceus</w:t>
      </w:r>
      <w:proofErr w:type="spellEnd"/>
    </w:p>
    <w:p w14:paraId="77523A59" w14:textId="77777777" w:rsidR="00070765" w:rsidRDefault="00070765" w:rsidP="00330541">
      <w:pPr>
        <w:spacing w:line="360" w:lineRule="auto"/>
        <w:ind w:left="567" w:right="1695"/>
        <w:rPr>
          <w:rFonts w:ascii="Arial" w:hAnsi="Arial" w:cs="Arial"/>
        </w:rPr>
      </w:pPr>
    </w:p>
    <w:p w14:paraId="6214E428" w14:textId="2E183454" w:rsidR="00F40CF9" w:rsidRDefault="00F40CF9" w:rsidP="00F40CF9">
      <w:pPr>
        <w:spacing w:after="120" w:line="360" w:lineRule="auto"/>
        <w:ind w:left="567" w:right="1695"/>
        <w:rPr>
          <w:rFonts w:ascii="Arial" w:eastAsia="Arial" w:hAnsi="Arial" w:cs="Arial"/>
        </w:rPr>
      </w:pPr>
      <w:r w:rsidRPr="00F40CF9">
        <w:rPr>
          <w:rFonts w:ascii="Arial" w:eastAsia="Arial" w:hAnsi="Arial" w:cs="Arial"/>
        </w:rPr>
        <w:t>AMAZONE erweitert die Wahlmöglichkeiten der Werkzeuge um den neuen C-Mix-Ultra-Zinken für die Anhängegrubber Cenius-2TX mit Arbeitsbreiten von 4 bis 8 m und die Scheibeneggen-Grubber-Kombination Ceus-2TX, die in Arbeitsbreiten von 4 bis 7 m erhältlich ist. Das neue Zinkensystem ist mit einer automatischen Überlastsicherung über Hydraulikzylinder ausgestattet und bietet speziell bei intensiven Einsatzbedingungen eine hohe Zuverlässigkeit und Dauerhaltbarkeit.</w:t>
      </w:r>
    </w:p>
    <w:p w14:paraId="719C4391" w14:textId="77777777" w:rsidR="00F40CF9" w:rsidRPr="00F40CF9" w:rsidRDefault="00F40CF9" w:rsidP="00F40CF9">
      <w:pPr>
        <w:spacing w:after="120" w:line="360" w:lineRule="auto"/>
        <w:ind w:left="567" w:right="1695"/>
        <w:rPr>
          <w:rFonts w:ascii="Arial" w:eastAsia="Arial" w:hAnsi="Arial" w:cs="Arial"/>
        </w:rPr>
      </w:pPr>
    </w:p>
    <w:p w14:paraId="5681B9B5" w14:textId="77777777" w:rsidR="00F40CF9" w:rsidRPr="00F40CF9" w:rsidRDefault="00F40CF9" w:rsidP="00F40CF9">
      <w:pPr>
        <w:spacing w:after="120" w:line="360" w:lineRule="auto"/>
        <w:ind w:left="567" w:right="1695"/>
        <w:rPr>
          <w:rFonts w:ascii="Arial" w:eastAsia="Arial" w:hAnsi="Arial" w:cs="Arial"/>
          <w:b/>
          <w:bCs/>
        </w:rPr>
      </w:pPr>
      <w:r w:rsidRPr="00F40CF9">
        <w:rPr>
          <w:rFonts w:ascii="Arial" w:eastAsia="Arial" w:hAnsi="Arial" w:cs="Arial"/>
          <w:b/>
          <w:bCs/>
        </w:rPr>
        <w:t>Ultra-Überlastsicherung für härteste Bedingungen</w:t>
      </w:r>
    </w:p>
    <w:p w14:paraId="49BE332A" w14:textId="77777777"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 xml:space="preserve">Der C-Mix-Ultra-Zinken zeigt seine Stärken besonders bei anspruchsvollen Bodenverhältnissen mit regelmäßiger Überlast. Die Auslösekraft kann bei dieser neuen hydraulischen Variante den Gegebenheiten angepasst und stufenlos auf bis zu 800 kg eingestellt werden. Dies gibt eine hohe Einsatzsicherheit, denn auch unter härtesten Bedingungen hält die Maschine durch die hohen Aushebewege der einzelnen Zinken die gewünschte Arbeitstiefe von bis zu 30 cm optimal ein. Außerdem schützt die Ultra-Überlastsicherung den Grubber auf besondere Weise: Das System, bestehend aus den an den Zinken verbauten Hydraulikzylindern und den zentralen Hydraulikspeichern, sorgt nach dem Auslösen für ein sehr gedämpftes Rückschlagverhalten des C-Mix-Ultra-Zinkens. Gerade bei vielen Auslöseprozessen wirkt sich dies sehr vorteilhaft auf den Verschleiß der Überlastsicherung aus. </w:t>
      </w:r>
    </w:p>
    <w:p w14:paraId="20BDA701" w14:textId="77777777"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Für einen geringen Druckunterschied bei gleichzeitigem Auslösen mehrerer Überlastsicherungen ist die Anzahl der Hydraulikspeicher der jeweiligen Zinkenanzahl angepasst.</w:t>
      </w:r>
    </w:p>
    <w:p w14:paraId="26BC958D" w14:textId="12D915B4" w:rsidR="00F40CF9" w:rsidRDefault="00F40CF9" w:rsidP="00F40CF9">
      <w:pPr>
        <w:spacing w:after="120" w:line="360" w:lineRule="auto"/>
        <w:ind w:left="567" w:right="1695"/>
        <w:rPr>
          <w:rFonts w:ascii="Arial" w:eastAsia="Arial" w:hAnsi="Arial" w:cs="Arial"/>
        </w:rPr>
      </w:pPr>
      <w:r w:rsidRPr="00F40CF9">
        <w:rPr>
          <w:rFonts w:ascii="Arial" w:eastAsia="Arial" w:hAnsi="Arial" w:cs="Arial"/>
        </w:rPr>
        <w:lastRenderedPageBreak/>
        <w:t>Die stufenlose Einstellung des Systems erfolgt einfach und bequem vorn an der Deichsel. Dort ist auch das Druckmanometer, das zur Kontrolle vom Traktorsitz aus gut einsehbar ist.</w:t>
      </w:r>
    </w:p>
    <w:p w14:paraId="2D224FF7" w14:textId="77777777" w:rsidR="00F40CF9" w:rsidRPr="00F40CF9" w:rsidRDefault="00F40CF9" w:rsidP="00F40CF9">
      <w:pPr>
        <w:spacing w:after="120" w:line="360" w:lineRule="auto"/>
        <w:ind w:left="567" w:right="1695"/>
        <w:rPr>
          <w:rFonts w:ascii="Arial" w:eastAsia="Arial" w:hAnsi="Arial" w:cs="Arial"/>
        </w:rPr>
      </w:pPr>
    </w:p>
    <w:p w14:paraId="2BC200F0" w14:textId="77777777" w:rsidR="00F40CF9" w:rsidRPr="00F40CF9" w:rsidRDefault="00F40CF9" w:rsidP="00F40CF9">
      <w:pPr>
        <w:spacing w:after="120" w:line="360" w:lineRule="auto"/>
        <w:ind w:left="567" w:right="1695"/>
        <w:rPr>
          <w:rFonts w:ascii="Arial" w:eastAsia="Arial" w:hAnsi="Arial" w:cs="Arial"/>
          <w:b/>
          <w:bCs/>
        </w:rPr>
      </w:pPr>
      <w:r w:rsidRPr="00F40CF9">
        <w:rPr>
          <w:rFonts w:ascii="Arial" w:eastAsia="Arial" w:hAnsi="Arial" w:cs="Arial"/>
          <w:b/>
          <w:bCs/>
        </w:rPr>
        <w:t>C-Mix-Scharsystem für alle Einsatzfälle</w:t>
      </w:r>
    </w:p>
    <w:p w14:paraId="4CAAD24D" w14:textId="77777777"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 xml:space="preserve">Der neue C-Mix-Ultra-Zinken kann mit dem kompletten C-Mix-Scharsystem kombiniert werden. Das umfangreiche Sortiment bietet für jedes Einsatzspektrum den richtigen </w:t>
      </w:r>
      <w:proofErr w:type="spellStart"/>
      <w:r w:rsidRPr="00F40CF9">
        <w:rPr>
          <w:rFonts w:ascii="Arial" w:eastAsia="Arial" w:hAnsi="Arial" w:cs="Arial"/>
        </w:rPr>
        <w:t>Schartyp</w:t>
      </w:r>
      <w:proofErr w:type="spellEnd"/>
      <w:r w:rsidRPr="00F40CF9">
        <w:rPr>
          <w:rFonts w:ascii="Arial" w:eastAsia="Arial" w:hAnsi="Arial" w:cs="Arial"/>
        </w:rPr>
        <w:t>. Teilweise sind die Schare als hochverschleißfeste HD-Variante erhältlich.</w:t>
      </w:r>
    </w:p>
    <w:p w14:paraId="5052A904" w14:textId="77777777"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Außerdem wird das C-Mix-Clip-Schnellwechselsystem angeboten, bei dem die Scharspitzen einfach und komfortabel getauscht werden können. Innerhalb kürzester Zeit ist die Scharspitze vom Leitblech getrennt. Das sorgt für geringe Rüstzeiten und vor allem für eine Reduzierung der Verschleißkosten.</w:t>
      </w:r>
    </w:p>
    <w:p w14:paraId="4EDB8339" w14:textId="5645F241" w:rsidR="00070765" w:rsidRDefault="00070765" w:rsidP="00070765">
      <w:pPr>
        <w:spacing w:after="120" w:line="360" w:lineRule="auto"/>
        <w:ind w:left="567" w:right="1695"/>
        <w:rPr>
          <w:rFonts w:ascii="Arial" w:eastAsia="Arial" w:hAnsi="Arial" w:cs="Arial"/>
        </w:rPr>
      </w:pPr>
    </w:p>
    <w:p w14:paraId="546B8B91" w14:textId="0BF51B3F" w:rsidR="00070765" w:rsidRDefault="00070765" w:rsidP="00070765">
      <w:pPr>
        <w:spacing w:after="120" w:line="360" w:lineRule="auto"/>
        <w:ind w:left="567" w:right="1695"/>
        <w:rPr>
          <w:rFonts w:ascii="Arial" w:eastAsia="Arial" w:hAnsi="Arial" w:cs="Arial"/>
        </w:rPr>
      </w:pPr>
    </w:p>
    <w:p w14:paraId="552302DF" w14:textId="5FF58E0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A55A7BC" wp14:editId="2F2A975E">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14803D4B" w14:textId="0FFDC525" w:rsidR="00070765" w:rsidRDefault="00070765" w:rsidP="00070765">
      <w:pPr>
        <w:spacing w:after="120" w:line="360" w:lineRule="auto"/>
        <w:ind w:left="567" w:right="1695"/>
        <w:rPr>
          <w:rFonts w:ascii="Arial" w:eastAsia="Arial" w:hAnsi="Arial" w:cs="Arial"/>
        </w:rPr>
      </w:pPr>
    </w:p>
    <w:p w14:paraId="1580E7AC" w14:textId="0D44730D" w:rsidR="00F40CF9" w:rsidRDefault="00F40CF9" w:rsidP="00070765">
      <w:pPr>
        <w:spacing w:after="120" w:line="360" w:lineRule="auto"/>
        <w:ind w:left="567" w:right="1695"/>
        <w:rPr>
          <w:rFonts w:ascii="Arial" w:eastAsia="Arial" w:hAnsi="Arial" w:cs="Arial"/>
        </w:rPr>
      </w:pPr>
    </w:p>
    <w:p w14:paraId="51ACA825" w14:textId="31AF873B" w:rsidR="00F40CF9" w:rsidRDefault="00F40CF9" w:rsidP="00F40CF9">
      <w:pPr>
        <w:spacing w:after="120" w:line="360" w:lineRule="auto"/>
        <w:ind w:right="1695"/>
        <w:rPr>
          <w:rFonts w:ascii="Arial" w:eastAsia="Arial" w:hAnsi="Arial" w:cs="Arial"/>
        </w:rPr>
      </w:pPr>
    </w:p>
    <w:p w14:paraId="5708E990" w14:textId="3A933C76" w:rsidR="00F40CF9" w:rsidRDefault="00F40CF9"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D834D97" wp14:editId="48C64C3E">
            <wp:extent cx="40536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D61C910" w14:textId="77777777"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Die hohe Auslösekraft von bis zu 800 kg sorgt für eine gleichbleibende Arbeitstiefe und schützt den Rahmen</w:t>
      </w:r>
    </w:p>
    <w:p w14:paraId="7D92D9A9" w14:textId="556AC925" w:rsidR="00F40CF9" w:rsidRDefault="00F40CF9" w:rsidP="00070765">
      <w:pPr>
        <w:spacing w:after="120" w:line="360" w:lineRule="auto"/>
        <w:ind w:left="567" w:right="1695"/>
        <w:rPr>
          <w:rFonts w:ascii="Arial" w:eastAsia="Arial" w:hAnsi="Arial" w:cs="Arial"/>
        </w:rPr>
      </w:pPr>
    </w:p>
    <w:p w14:paraId="7CB38254" w14:textId="0D9BD451" w:rsidR="00F40CF9" w:rsidRDefault="00F40CF9" w:rsidP="00070765">
      <w:pPr>
        <w:spacing w:after="120" w:line="360" w:lineRule="auto"/>
        <w:ind w:left="567" w:right="1695"/>
        <w:rPr>
          <w:rFonts w:ascii="Arial" w:eastAsia="Arial" w:hAnsi="Arial" w:cs="Arial"/>
        </w:rPr>
      </w:pPr>
    </w:p>
    <w:p w14:paraId="2E2CEE62" w14:textId="4B670B13"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582348A" wp14:editId="229BBB24">
            <wp:extent cx="2203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3200" cy="2880000"/>
                    </a:xfrm>
                    <a:prstGeom prst="rect">
                      <a:avLst/>
                    </a:prstGeom>
                  </pic:spPr>
                </pic:pic>
              </a:graphicData>
            </a:graphic>
          </wp:inline>
        </w:drawing>
      </w:r>
    </w:p>
    <w:p w14:paraId="6C9B6C5F" w14:textId="3514EF42" w:rsidR="00F40CF9" w:rsidRPr="00F40CF9" w:rsidRDefault="00F40CF9" w:rsidP="00F40CF9">
      <w:pPr>
        <w:spacing w:after="120" w:line="360" w:lineRule="auto"/>
        <w:ind w:left="567" w:right="1695"/>
        <w:rPr>
          <w:rFonts w:ascii="Arial" w:eastAsia="Arial" w:hAnsi="Arial" w:cs="Arial"/>
        </w:rPr>
      </w:pPr>
      <w:r w:rsidRPr="00F40CF9">
        <w:rPr>
          <w:rFonts w:ascii="Arial" w:eastAsia="Arial" w:hAnsi="Arial" w:cs="Arial"/>
        </w:rPr>
        <w:t>Über den Hydraulikzylinder wird der C-Mix-Ultra-Zinken nach dem Auslösen gedämpft zurückgesetzt</w:t>
      </w:r>
    </w:p>
    <w:p w14:paraId="4B20BE2E" w14:textId="3B2FF0BC" w:rsidR="00F40CF9" w:rsidRDefault="00F40CF9" w:rsidP="00070765">
      <w:pPr>
        <w:spacing w:after="120" w:line="360" w:lineRule="auto"/>
        <w:ind w:left="567" w:right="1695"/>
        <w:rPr>
          <w:rFonts w:ascii="Arial" w:eastAsia="Arial" w:hAnsi="Arial" w:cs="Arial"/>
        </w:rPr>
      </w:pPr>
    </w:p>
    <w:p w14:paraId="39331DDC" w14:textId="77777777" w:rsidR="00AF67EE" w:rsidRDefault="00AF67EE" w:rsidP="00070765">
      <w:pPr>
        <w:spacing w:after="120" w:line="360" w:lineRule="auto"/>
        <w:ind w:left="567" w:right="1695"/>
        <w:rPr>
          <w:rFonts w:ascii="Arial" w:eastAsia="Arial" w:hAnsi="Arial" w:cs="Arial"/>
        </w:rPr>
      </w:pPr>
    </w:p>
    <w:p w14:paraId="62644174" w14:textId="77777777" w:rsidR="00AF67EE" w:rsidRDefault="00F40CF9" w:rsidP="00F40CF9">
      <w:pPr>
        <w:spacing w:after="120" w:line="360" w:lineRule="auto"/>
        <w:ind w:left="567" w:right="1695"/>
        <w:rPr>
          <w:rFonts w:ascii="Arial" w:eastAsia="Arial" w:hAnsi="Arial" w:cs="Arial"/>
        </w:rPr>
      </w:pPr>
      <w:r w:rsidRPr="00F40CF9">
        <w:rPr>
          <w:rFonts w:ascii="Arial" w:eastAsia="Arial" w:hAnsi="Arial" w:cs="Arial"/>
        </w:rPr>
        <w:lastRenderedPageBreak/>
        <w:t xml:space="preserve">Einsatzvideo </w:t>
      </w:r>
      <w:proofErr w:type="spellStart"/>
      <w:r w:rsidRPr="00F40CF9">
        <w:rPr>
          <w:rFonts w:ascii="Arial" w:eastAsia="Arial" w:hAnsi="Arial" w:cs="Arial"/>
        </w:rPr>
        <w:t>Ceus</w:t>
      </w:r>
      <w:proofErr w:type="spellEnd"/>
      <w:r w:rsidRPr="00F40CF9">
        <w:rPr>
          <w:rFonts w:ascii="Arial" w:eastAsia="Arial" w:hAnsi="Arial" w:cs="Arial"/>
        </w:rPr>
        <w:t xml:space="preserve"> 5000-2TX: </w:t>
      </w:r>
    </w:p>
    <w:p w14:paraId="5D27D604" w14:textId="36E09FEE" w:rsidR="00F40CF9" w:rsidRPr="00F40CF9" w:rsidRDefault="00F40CF9" w:rsidP="00F40CF9">
      <w:pPr>
        <w:spacing w:after="120" w:line="360" w:lineRule="auto"/>
        <w:ind w:left="567" w:right="1695"/>
        <w:rPr>
          <w:rFonts w:ascii="Arial" w:eastAsia="Arial" w:hAnsi="Arial" w:cs="Arial"/>
          <w:b/>
          <w:bCs/>
        </w:rPr>
      </w:pPr>
      <w:r w:rsidRPr="00F40CF9">
        <w:rPr>
          <w:rFonts w:ascii="Arial" w:eastAsia="Arial" w:hAnsi="Arial" w:cs="Arial"/>
          <w:b/>
          <w:bCs/>
        </w:rPr>
        <w:t>www.amazone.net/yt-ceus-ultra</w:t>
      </w:r>
    </w:p>
    <w:p w14:paraId="5C4A3B08" w14:textId="77777777" w:rsidR="00F40CF9" w:rsidRDefault="00F40CF9" w:rsidP="00F40CF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6C78B1C" wp14:editId="5030658C">
            <wp:extent cx="1079500" cy="10795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B112E3D" w14:textId="6BB4846C" w:rsidR="00F40CF9" w:rsidRDefault="00F40CF9" w:rsidP="00070765">
      <w:pPr>
        <w:spacing w:after="120" w:line="360" w:lineRule="auto"/>
        <w:ind w:left="567" w:right="1695"/>
        <w:rPr>
          <w:rFonts w:ascii="Arial" w:eastAsia="Arial" w:hAnsi="Arial" w:cs="Arial"/>
        </w:rPr>
      </w:pPr>
    </w:p>
    <w:p w14:paraId="074917E7" w14:textId="77777777" w:rsidR="00F40CF9" w:rsidRDefault="00F40CF9" w:rsidP="00070765">
      <w:pPr>
        <w:spacing w:after="120" w:line="360" w:lineRule="auto"/>
        <w:ind w:left="567" w:right="1695"/>
        <w:rPr>
          <w:rFonts w:ascii="Arial" w:eastAsia="Arial" w:hAnsi="Arial" w:cs="Arial"/>
        </w:rPr>
      </w:pPr>
    </w:p>
    <w:p w14:paraId="45B2CFD9" w14:textId="6B7907A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D26A6E6" wp14:editId="2D29D502">
            <wp:extent cx="2584800" cy="2880000"/>
            <wp:effectExtent l="0" t="0" r="635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4800" cy="2880000"/>
                    </a:xfrm>
                    <a:prstGeom prst="rect">
                      <a:avLst/>
                    </a:prstGeom>
                  </pic:spPr>
                </pic:pic>
              </a:graphicData>
            </a:graphic>
          </wp:inline>
        </w:drawing>
      </w:r>
    </w:p>
    <w:p w14:paraId="63154D6E" w14:textId="77777777" w:rsidR="00F40CF9" w:rsidRDefault="00F40CF9" w:rsidP="00070765">
      <w:pPr>
        <w:spacing w:after="120" w:line="360" w:lineRule="auto"/>
        <w:ind w:left="567" w:right="1695"/>
        <w:rPr>
          <w:rFonts w:ascii="Arial" w:eastAsia="Arial" w:hAnsi="Arial" w:cs="Arial"/>
        </w:rPr>
      </w:pPr>
    </w:p>
    <w:p w14:paraId="7700F69C" w14:textId="77777777" w:rsidR="00F40CF9" w:rsidRDefault="00F40CF9">
      <w:pPr>
        <w:rPr>
          <w:rFonts w:ascii="Arial" w:eastAsia="Arial" w:hAnsi="Arial" w:cs="Arial"/>
        </w:rPr>
      </w:pPr>
    </w:p>
    <w:p w14:paraId="54DCBCD4" w14:textId="1A26A55A" w:rsidR="00353431" w:rsidRDefault="00353431">
      <w:pPr>
        <w:rPr>
          <w:rFonts w:ascii="Arial" w:hAnsi="Arial" w:cs="Arial"/>
          <w:b/>
          <w:bCs/>
          <w:color w:val="808080" w:themeColor="background1" w:themeShade="80"/>
          <w:sz w:val="20"/>
          <w:szCs w:val="20"/>
        </w:rPr>
      </w:pPr>
    </w:p>
    <w:p w14:paraId="4AA22249" w14:textId="3FA5C0A8"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490A24A8" w14:textId="77777777"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sidR="00A049A0">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sidR="00A049A0">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in Deutschland, Frankreich, Russland und Ungarn rund 1.900 Mitarbeiter.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sidR="004B2822">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3" w:history="1">
        <w:r w:rsidR="00A46482" w:rsidRPr="00047000">
          <w:rPr>
            <w:rStyle w:val="Hyperlink"/>
            <w:rFonts w:ascii="Arial" w:hAnsi="Arial" w:cs="Arial"/>
            <w:bCs/>
            <w:sz w:val="20"/>
            <w:szCs w:val="20"/>
          </w:rPr>
          <w:t>www.amazone.de</w:t>
        </w:r>
      </w:hyperlink>
    </w:p>
    <w:p w14:paraId="252D2E94" w14:textId="77777777"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sidRPr="00E12CE4">
        <w:rPr>
          <w:noProof/>
          <w:color w:val="0563C1"/>
        </w:rPr>
        <w:drawing>
          <wp:inline distT="0" distB="0" distL="0" distR="0" wp14:anchorId="3232BA44" wp14:editId="67A1B58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DA73A41" wp14:editId="31F2BE0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844C388" wp14:editId="0E097ACA">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56E5A95" wp14:editId="1DB3C5BC">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2115B03" wp14:editId="6470335A">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FAD1" w14:textId="77777777" w:rsidR="00E203CB" w:rsidRDefault="00E203CB">
      <w:r>
        <w:separator/>
      </w:r>
    </w:p>
  </w:endnote>
  <w:endnote w:type="continuationSeparator" w:id="0">
    <w:p w14:paraId="29929210" w14:textId="77777777" w:rsidR="00E203CB" w:rsidRDefault="00E2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4B8B" w14:textId="77777777" w:rsidR="00E203CB" w:rsidRDefault="00E203CB">
      <w:r>
        <w:separator/>
      </w:r>
    </w:p>
  </w:footnote>
  <w:footnote w:type="continuationSeparator" w:id="0">
    <w:p w14:paraId="6B968332" w14:textId="77777777" w:rsidR="00E203CB" w:rsidRDefault="00E2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67EE"/>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D93"/>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44D"/>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03CB"/>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0CF9"/>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de"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468</Words>
  <Characters>2955</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2021-10-04T11:00:00Z</dcterms:created>
  <dcterms:modified xsi:type="dcterms:W3CDTF">2021-10-04T11:56:00Z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