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278801" w14:textId="77777777" w:rsidR="001C0F6E" w:rsidRPr="00A926F9" w:rsidRDefault="001C0F6E" w:rsidP="001C0F6E">
      <w:pPr>
        <w:spacing w:after="120" w:line="360" w:lineRule="auto"/>
        <w:ind w:left="567" w:right="1695"/>
        <w:rPr>
          <w:rFonts w:ascii="Arial" w:hAnsi="Arial" w:cs="Arial"/>
          <w:b/>
          <w:bCs/>
          <w:sz w:val="28"/>
          <w:szCs w:val="28"/>
          <w:lang w:val="en-GB"/>
        </w:rPr>
      </w:pPr>
      <w:r w:rsidRPr="001C0F6E">
        <w:rPr>
          <w:rFonts w:ascii="Arial" w:hAnsi="Arial" w:cs="Arial"/>
          <w:b/>
          <w:bCs/>
          <w:sz w:val="28"/>
          <w:szCs w:val="28"/>
          <w:lang w:val="en-GB"/>
        </w:rPr>
        <w:t>Shallow soil tillage with the AMAZONE C-Mix duckfoot share</w:t>
      </w:r>
    </w:p>
    <w:p w14:paraId="77523A59" w14:textId="1668FB77" w:rsidR="00070765" w:rsidRDefault="001C0F6E" w:rsidP="00330541">
      <w:pPr>
        <w:spacing w:line="360" w:lineRule="auto"/>
        <w:ind w:left="567" w:right="1695"/>
        <w:rPr>
          <w:rFonts w:ascii="Arial" w:hAnsi="Arial" w:cs="Arial"/>
          <w:b/>
          <w:bCs/>
          <w:lang w:val="en-GB"/>
        </w:rPr>
      </w:pPr>
      <w:r w:rsidRPr="001C0F6E">
        <w:rPr>
          <w:rFonts w:ascii="Arial" w:hAnsi="Arial" w:cs="Arial"/>
          <w:b/>
          <w:bCs/>
          <w:lang w:val="en-GB"/>
        </w:rPr>
        <w:t>Now also available in a h</w:t>
      </w:r>
      <w:r w:rsidR="00C650C7">
        <w:rPr>
          <w:rFonts w:ascii="Arial" w:hAnsi="Arial" w:cs="Arial"/>
          <w:b/>
          <w:bCs/>
          <w:lang w:val="en-GB"/>
        </w:rPr>
        <w:t>ighly wear-resistant, HD variant</w:t>
      </w:r>
      <w:bookmarkStart w:id="0" w:name="_GoBack"/>
      <w:bookmarkEnd w:id="0"/>
    </w:p>
    <w:p w14:paraId="1DA2D12C" w14:textId="77777777" w:rsidR="001C0F6E" w:rsidRPr="00A926F9" w:rsidRDefault="001C0F6E" w:rsidP="00330541">
      <w:pPr>
        <w:spacing w:line="360" w:lineRule="auto"/>
        <w:ind w:left="567" w:right="1695"/>
        <w:rPr>
          <w:rFonts w:ascii="Arial" w:hAnsi="Arial" w:cs="Arial"/>
          <w:lang w:val="en-GB"/>
        </w:rPr>
      </w:pPr>
    </w:p>
    <w:p w14:paraId="5165ABF2" w14:textId="257D5347" w:rsidR="001C0F6E" w:rsidRPr="001C0F6E" w:rsidRDefault="001C0F6E" w:rsidP="001C0F6E">
      <w:pPr>
        <w:spacing w:after="120" w:line="360" w:lineRule="auto"/>
        <w:ind w:left="567" w:right="1695"/>
        <w:rPr>
          <w:rFonts w:ascii="Arial" w:eastAsia="Arial" w:hAnsi="Arial" w:cs="Arial"/>
          <w:lang w:val="en-GB"/>
        </w:rPr>
      </w:pPr>
      <w:r w:rsidRPr="001C0F6E">
        <w:rPr>
          <w:rFonts w:ascii="Arial" w:eastAsia="Arial" w:hAnsi="Arial" w:cs="Arial"/>
          <w:lang w:val="en-GB"/>
        </w:rPr>
        <w:t xml:space="preserve">Due to increasing requirements for field hygiene and more attention to ground water conservation, shallow soil tillage is becoming increasingly important. Weed seeds and volunteer grains need to be kept near the soil surface, whilst germinated plants are completely cut off at the root. Full-surface, light soil movement not only fights weeds, but also disrupts negative water capillary action near the surface. This allows valuable ground water to be preserved for the subsequent crop. </w:t>
      </w:r>
    </w:p>
    <w:p w14:paraId="51E8FABA" w14:textId="74AB5368" w:rsidR="001C0F6E" w:rsidRPr="001C0F6E" w:rsidRDefault="001C0F6E" w:rsidP="001C0F6E">
      <w:pPr>
        <w:spacing w:after="120" w:line="360" w:lineRule="auto"/>
        <w:ind w:left="567" w:right="1695"/>
        <w:rPr>
          <w:rFonts w:ascii="Arial" w:eastAsia="Arial" w:hAnsi="Arial" w:cs="Arial"/>
          <w:lang w:val="en-GB"/>
        </w:rPr>
      </w:pPr>
      <w:r w:rsidRPr="001C0F6E">
        <w:rPr>
          <w:rFonts w:ascii="Arial" w:eastAsia="Arial" w:hAnsi="Arial" w:cs="Arial"/>
          <w:lang w:val="en-GB"/>
        </w:rPr>
        <w:t>New soil tillage tools are constantly being developed to meet this need. When it comes to cultivators, the most suitable tool for shallow, full-surface soil tillage is the duckfoot share. Compared with a wing share, the duckfoot achieves significantly shallower working. For cultivators in the Cenio and Cenius product ranges, AMAZONE offers the C-Mix duckfoot share with a width of 320 mm. With a maximum tine spacing of 30 cm, there is a 2-cm overlap between the shares. This ensures uniform, full-surface movement, whatever the conditions. In addition, the C-Mix duckfoot share is extremely flat along its entire width, so that it remains parallel to the ground surface and ensures a uniform, shallow cut. Germinated weeds and volunteers are cleanly cut, so they can dry out.</w:t>
      </w:r>
    </w:p>
    <w:p w14:paraId="71E78DBB" w14:textId="77777777" w:rsidR="001C0F6E" w:rsidRPr="001C0F6E" w:rsidRDefault="001C0F6E" w:rsidP="001C0F6E">
      <w:pPr>
        <w:spacing w:after="120" w:line="360" w:lineRule="auto"/>
        <w:ind w:left="567" w:right="1695"/>
        <w:rPr>
          <w:rFonts w:ascii="Arial" w:eastAsia="Arial" w:hAnsi="Arial" w:cs="Arial"/>
          <w:lang w:val="en-GB"/>
        </w:rPr>
      </w:pPr>
      <w:r w:rsidRPr="001C0F6E">
        <w:rPr>
          <w:rFonts w:ascii="Arial" w:eastAsia="Arial" w:hAnsi="Arial" w:cs="Arial"/>
          <w:lang w:val="en-GB"/>
        </w:rPr>
        <w:t>For optimal results, the wear condition of the share is extremely important. For a longer lifespan, AMAZONE now offers the duckfoot share in a highly wear-resistant HD variant. This features additional hard metal plates that are soldered into place and continually self-sharpen during the soil tillage process. This extends the service life of the share considerably and ensures consistent, clean results.</w:t>
      </w:r>
    </w:p>
    <w:p w14:paraId="42433E07" w14:textId="28AF5A2D" w:rsidR="0035664D" w:rsidRPr="00A926F9" w:rsidRDefault="0035664D" w:rsidP="0035664D">
      <w:pPr>
        <w:spacing w:after="120" w:line="360" w:lineRule="auto"/>
        <w:ind w:left="567" w:right="1695"/>
        <w:rPr>
          <w:rFonts w:ascii="Arial" w:eastAsia="Arial" w:hAnsi="Arial" w:cs="Arial"/>
          <w:lang w:val="en-GB"/>
        </w:rPr>
      </w:pPr>
    </w:p>
    <w:p w14:paraId="6A233CB3" w14:textId="77777777" w:rsidR="0035664D" w:rsidRPr="00A926F9" w:rsidRDefault="0035664D" w:rsidP="0035664D">
      <w:pPr>
        <w:spacing w:after="120" w:line="360" w:lineRule="auto"/>
        <w:ind w:left="567" w:right="1695"/>
        <w:rPr>
          <w:rFonts w:ascii="Arial" w:eastAsia="Arial" w:hAnsi="Arial" w:cs="Arial"/>
          <w:lang w:val="en-GB"/>
        </w:rPr>
      </w:pPr>
    </w:p>
    <w:p w14:paraId="546B8B91" w14:textId="3F3BD848" w:rsidR="00070765" w:rsidRDefault="0035664D"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5E52B21" wp14:editId="185238F2">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71C84B5" w14:textId="77777777" w:rsidR="001C0F6E" w:rsidRPr="001C0F6E" w:rsidRDefault="001C0F6E" w:rsidP="001C0F6E">
      <w:pPr>
        <w:spacing w:after="120" w:line="360" w:lineRule="auto"/>
        <w:ind w:left="567" w:right="1695"/>
        <w:rPr>
          <w:rFonts w:ascii="Arial" w:eastAsia="Arial" w:hAnsi="Arial" w:cs="Arial"/>
          <w:bCs/>
          <w:lang w:val="en-GB"/>
        </w:rPr>
      </w:pPr>
      <w:r w:rsidRPr="001C0F6E">
        <w:rPr>
          <w:rFonts w:ascii="Arial" w:eastAsia="Arial" w:hAnsi="Arial" w:cs="Arial"/>
          <w:lang w:val="en-GB"/>
        </w:rPr>
        <w:t>The AMAZONE C-Mix duckfoot share can be fitted to all Cenio and Cenius cultivators.</w:t>
      </w:r>
    </w:p>
    <w:p w14:paraId="01B005DC" w14:textId="66C55B54" w:rsidR="0035664D" w:rsidRPr="00A926F9" w:rsidRDefault="0035664D" w:rsidP="001C0F6E">
      <w:pPr>
        <w:spacing w:after="120" w:line="360" w:lineRule="auto"/>
        <w:ind w:right="1695"/>
        <w:rPr>
          <w:rFonts w:ascii="Arial" w:eastAsia="Arial" w:hAnsi="Arial" w:cs="Arial"/>
          <w:lang w:val="en-GB"/>
        </w:rPr>
      </w:pPr>
    </w:p>
    <w:p w14:paraId="050F6382" w14:textId="77777777" w:rsidR="0035664D" w:rsidRPr="00A926F9" w:rsidRDefault="0035664D" w:rsidP="00070765">
      <w:pPr>
        <w:spacing w:after="120" w:line="360" w:lineRule="auto"/>
        <w:ind w:left="567" w:right="1695"/>
        <w:rPr>
          <w:rFonts w:ascii="Arial" w:eastAsia="Arial" w:hAnsi="Arial" w:cs="Arial"/>
          <w:lang w:val="en-GB"/>
        </w:rPr>
      </w:pPr>
    </w:p>
    <w:p w14:paraId="446A41AF" w14:textId="4020DE7D"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A937A61" wp14:editId="344B199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BACCAA9" w14:textId="77777777" w:rsidR="001C0F6E" w:rsidRPr="001C0F6E" w:rsidRDefault="001C0F6E" w:rsidP="001C0F6E">
      <w:pPr>
        <w:spacing w:after="120" w:line="360" w:lineRule="auto"/>
        <w:ind w:left="567" w:right="1695"/>
        <w:rPr>
          <w:rFonts w:ascii="Arial" w:eastAsia="Arial" w:hAnsi="Arial" w:cs="Arial"/>
          <w:bCs/>
          <w:lang w:val="en-GB"/>
        </w:rPr>
      </w:pPr>
      <w:r w:rsidRPr="001C0F6E">
        <w:rPr>
          <w:rFonts w:ascii="Arial" w:eastAsia="Arial" w:hAnsi="Arial" w:cs="Arial"/>
          <w:lang w:val="en-GB"/>
        </w:rPr>
        <w:t>The extensive AMAZONE C-Mix share range now includes a 320-mm-wide duckfoot share for shallow, full-surface soil tillage.</w:t>
      </w:r>
    </w:p>
    <w:p w14:paraId="48044331" w14:textId="288C41DF" w:rsidR="0035664D" w:rsidRPr="00A926F9" w:rsidRDefault="0035664D" w:rsidP="00070765">
      <w:pPr>
        <w:spacing w:after="120" w:line="360" w:lineRule="auto"/>
        <w:ind w:left="567" w:right="1695"/>
        <w:rPr>
          <w:rFonts w:ascii="Arial" w:eastAsia="Arial" w:hAnsi="Arial" w:cs="Arial"/>
          <w:lang w:val="en-GB"/>
        </w:rPr>
      </w:pPr>
    </w:p>
    <w:p w14:paraId="27C7D8A4" w14:textId="38CEC0C7" w:rsidR="0035664D" w:rsidRPr="00A926F9" w:rsidRDefault="0035664D" w:rsidP="00070765">
      <w:pPr>
        <w:spacing w:after="120" w:line="360" w:lineRule="auto"/>
        <w:ind w:left="567" w:right="1695"/>
        <w:rPr>
          <w:rFonts w:ascii="Arial" w:eastAsia="Arial" w:hAnsi="Arial" w:cs="Arial"/>
          <w:lang w:val="en-GB"/>
        </w:rPr>
      </w:pPr>
    </w:p>
    <w:p w14:paraId="7542A28E" w14:textId="35BE74F4" w:rsidR="001C0F6E" w:rsidRPr="001C0F6E" w:rsidRDefault="00A926F9" w:rsidP="001C0F6E">
      <w:pPr>
        <w:spacing w:after="120" w:line="360" w:lineRule="auto"/>
        <w:ind w:left="567" w:right="1695"/>
        <w:rPr>
          <w:rFonts w:ascii="Arial" w:eastAsia="Arial" w:hAnsi="Arial" w:cs="Arial"/>
          <w:bCs/>
          <w:lang w:val="en-GB"/>
        </w:rPr>
      </w:pPr>
      <w:r>
        <w:rPr>
          <w:rFonts w:ascii="Arial" w:eastAsia="Arial" w:hAnsi="Arial" w:cs="Arial"/>
          <w:lang w:val="en-GB"/>
        </w:rPr>
        <w:lastRenderedPageBreak/>
        <w:t xml:space="preserve">Video of </w:t>
      </w:r>
      <w:r w:rsidRPr="00A926F9">
        <w:rPr>
          <w:rFonts w:ascii="Arial" w:eastAsia="Arial" w:hAnsi="Arial" w:cs="Arial"/>
          <w:lang w:val="en-GB"/>
        </w:rPr>
        <w:t>Cenio 3000 Special</w:t>
      </w:r>
      <w:r>
        <w:rPr>
          <w:rFonts w:ascii="Arial" w:eastAsia="Arial" w:hAnsi="Arial" w:cs="Arial"/>
          <w:lang w:val="en-GB"/>
        </w:rPr>
        <w:t xml:space="preserve"> </w:t>
      </w:r>
      <w:r w:rsidR="00364017">
        <w:rPr>
          <w:rFonts w:ascii="Arial" w:eastAsia="Arial" w:hAnsi="Arial" w:cs="Arial"/>
          <w:lang w:val="en-GB"/>
        </w:rPr>
        <w:t xml:space="preserve">with </w:t>
      </w:r>
      <w:r w:rsidR="00364017" w:rsidRPr="00364017">
        <w:rPr>
          <w:rFonts w:ascii="Arial" w:eastAsia="Arial" w:hAnsi="Arial" w:cs="Arial"/>
          <w:lang w:val="en-GB"/>
        </w:rPr>
        <w:t xml:space="preserve">duckfoot share </w:t>
      </w:r>
      <w:r>
        <w:rPr>
          <w:rFonts w:ascii="Arial" w:eastAsia="Arial" w:hAnsi="Arial" w:cs="Arial"/>
          <w:lang w:val="en-GB"/>
        </w:rPr>
        <w:t>in use</w:t>
      </w:r>
      <w:r w:rsidR="001C0F6E" w:rsidRPr="001C0F6E">
        <w:rPr>
          <w:rFonts w:ascii="Arial" w:eastAsia="Arial" w:hAnsi="Arial" w:cs="Arial"/>
          <w:bCs/>
          <w:lang w:val="en-GB"/>
        </w:rPr>
        <w:t>:</w:t>
      </w:r>
    </w:p>
    <w:p w14:paraId="63DF1B89" w14:textId="34160810" w:rsidR="0035664D" w:rsidRPr="00A926F9" w:rsidRDefault="0035664D" w:rsidP="0035664D">
      <w:pPr>
        <w:spacing w:after="120" w:line="360" w:lineRule="auto"/>
        <w:ind w:left="567" w:right="1695"/>
        <w:rPr>
          <w:rFonts w:ascii="Arial" w:eastAsia="Arial" w:hAnsi="Arial" w:cs="Arial"/>
          <w:lang w:val="en-GB"/>
        </w:rPr>
      </w:pPr>
      <w:r w:rsidRPr="00A926F9">
        <w:rPr>
          <w:rFonts w:ascii="Arial" w:eastAsia="Arial" w:hAnsi="Arial" w:cs="Arial"/>
          <w:b/>
          <w:bCs/>
          <w:lang w:val="en-GB"/>
        </w:rPr>
        <w:t>www.amazone.net/yt-cenio-hd</w:t>
      </w:r>
    </w:p>
    <w:p w14:paraId="6EC66AC8" w14:textId="1090D86D"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CB76A9" wp14:editId="56D96CFD">
            <wp:extent cx="1079500" cy="1079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24A18357" w14:textId="77777777" w:rsidR="0035664D" w:rsidRDefault="0035664D" w:rsidP="00070765">
      <w:pPr>
        <w:spacing w:after="120" w:line="360" w:lineRule="auto"/>
        <w:ind w:left="567" w:right="1695"/>
        <w:rPr>
          <w:rFonts w:ascii="Arial" w:eastAsia="Arial" w:hAnsi="Arial" w:cs="Arial"/>
        </w:rPr>
      </w:pPr>
    </w:p>
    <w:p w14:paraId="3B1305F6" w14:textId="6E370CC9" w:rsidR="00353431" w:rsidRDefault="00353431" w:rsidP="00070765">
      <w:pPr>
        <w:spacing w:after="120" w:line="360" w:lineRule="auto"/>
        <w:ind w:left="567" w:right="1695"/>
        <w:rPr>
          <w:rFonts w:ascii="Arial" w:eastAsia="Arial" w:hAnsi="Arial" w:cs="Arial"/>
        </w:rPr>
      </w:pPr>
    </w:p>
    <w:p w14:paraId="50F263EB" w14:textId="141EF34B" w:rsidR="0035664D" w:rsidRDefault="0035664D"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2685087" wp14:editId="42742F80">
            <wp:extent cx="25920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92000" cy="2880000"/>
                    </a:xfrm>
                    <a:prstGeom prst="rect">
                      <a:avLst/>
                    </a:prstGeom>
                  </pic:spPr>
                </pic:pic>
              </a:graphicData>
            </a:graphic>
          </wp:inline>
        </w:drawing>
      </w:r>
    </w:p>
    <w:p w14:paraId="2ED78920" w14:textId="77777777" w:rsidR="001C0F6E" w:rsidRPr="001C0F6E" w:rsidRDefault="001C0F6E" w:rsidP="001C0F6E">
      <w:pPr>
        <w:tabs>
          <w:tab w:val="left" w:pos="3550"/>
        </w:tabs>
        <w:spacing w:line="360" w:lineRule="auto"/>
        <w:ind w:left="567" w:right="2262"/>
        <w:rPr>
          <w:rFonts w:ascii="Arial" w:hAnsi="Arial" w:cs="Arial"/>
          <w:bCs/>
          <w:color w:val="0D0D0D" w:themeColor="text1" w:themeTint="F2"/>
          <w:lang w:val="en-GB"/>
        </w:rPr>
      </w:pPr>
      <w:r w:rsidRPr="001C0F6E">
        <w:rPr>
          <w:rFonts w:ascii="Arial" w:hAnsi="Arial" w:cs="Arial"/>
          <w:color w:val="0D0D0D" w:themeColor="text1" w:themeTint="F2"/>
          <w:lang w:val="en-GB"/>
        </w:rPr>
        <w:t>The HD variant extends the service life of the AMAZONE C-Mix duckfoot share many times over and ensures optimal results.</w:t>
      </w:r>
    </w:p>
    <w:p w14:paraId="3D42D9FC" w14:textId="147050D3"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575935D9" w14:textId="49B342C0"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32316C3" w14:textId="745AB55C"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2C1460DB" w14:textId="6062689A"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0625FA10" w14:textId="7244C737"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0FC751E7" w14:textId="2DC9BFDF"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7DFC5390" w14:textId="4211666F"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8B39838" w14:textId="12D86AAC"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1D92D6BD" w14:textId="3BE0994B"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C42EDDA" w14:textId="1A8F286A" w:rsidR="0035664D" w:rsidRPr="00A926F9" w:rsidRDefault="0035664D" w:rsidP="00BE1C86">
      <w:pPr>
        <w:tabs>
          <w:tab w:val="left" w:pos="3550"/>
        </w:tabs>
        <w:spacing w:line="360" w:lineRule="auto"/>
        <w:ind w:right="2262"/>
        <w:rPr>
          <w:rFonts w:ascii="Arial" w:hAnsi="Arial" w:cs="Arial"/>
          <w:b/>
          <w:bCs/>
          <w:color w:val="808080" w:themeColor="background1" w:themeShade="80"/>
          <w:sz w:val="20"/>
          <w:szCs w:val="20"/>
          <w:lang w:val="en-GB"/>
        </w:rPr>
      </w:pPr>
    </w:p>
    <w:p w14:paraId="46063188" w14:textId="7B5D2D5E" w:rsidR="0035664D" w:rsidRPr="00A926F9" w:rsidRDefault="0035664D"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70596556" w14:textId="3BB16354" w:rsidR="001C0F6E" w:rsidRPr="001C0F6E" w:rsidRDefault="001C0F6E" w:rsidP="001C0F6E">
      <w:pPr>
        <w:tabs>
          <w:tab w:val="left" w:pos="3550"/>
        </w:tabs>
        <w:spacing w:line="360" w:lineRule="auto"/>
        <w:ind w:left="567" w:right="2262"/>
        <w:rPr>
          <w:rFonts w:ascii="Arial" w:hAnsi="Arial" w:cs="Arial"/>
          <w:b/>
          <w:bCs/>
          <w:color w:val="808080" w:themeColor="background1" w:themeShade="80"/>
          <w:sz w:val="20"/>
          <w:szCs w:val="20"/>
          <w:lang w:val="en-GB"/>
        </w:rPr>
      </w:pPr>
      <w:r w:rsidRPr="001C0F6E">
        <w:rPr>
          <w:rFonts w:ascii="Arial" w:hAnsi="Arial" w:cs="Arial"/>
          <w:b/>
          <w:bCs/>
          <w:color w:val="808080" w:themeColor="background1" w:themeShade="80"/>
          <w:sz w:val="20"/>
          <w:szCs w:val="20"/>
          <w:lang w:val="en-GB"/>
        </w:rPr>
        <w:lastRenderedPageBreak/>
        <w:t>About AMAZONE</w:t>
      </w:r>
    </w:p>
    <w:p w14:paraId="30918828" w14:textId="77777777" w:rsidR="001C0F6E" w:rsidRPr="001C0F6E" w:rsidRDefault="001C0F6E" w:rsidP="001C0F6E">
      <w:pPr>
        <w:tabs>
          <w:tab w:val="left" w:pos="3550"/>
        </w:tabs>
        <w:spacing w:line="360" w:lineRule="auto"/>
        <w:ind w:left="567" w:right="2262"/>
        <w:rPr>
          <w:rFonts w:ascii="Arial" w:hAnsi="Arial" w:cs="Arial"/>
          <w:color w:val="808080" w:themeColor="background1" w:themeShade="80"/>
          <w:sz w:val="20"/>
          <w:szCs w:val="20"/>
          <w:lang w:val="en-GB"/>
        </w:rPr>
      </w:pPr>
      <w:r w:rsidRPr="001C0F6E">
        <w:rPr>
          <w:rFonts w:ascii="Arial" w:hAnsi="Arial" w:cs="Arial"/>
          <w:color w:val="808080" w:themeColor="background1" w:themeShade="80"/>
          <w:sz w:val="20"/>
          <w:szCs w:val="20"/>
          <w:lang w:val="en-GB"/>
        </w:rPr>
        <w:t xml:space="preserve">AMAZONEN-WERKE H. Dreyer SE &amp; Co. KG is based in Hasbergen-Gaste in Germany and manufactures agricultural and groundcare machinery. The owner-managed company employs around 1900 people at nine different production sites in Germany, France, Russia and Hungary. The agricultural machinery range includes soil tillage implements, seed drills, fertiliser spreaders and plant protection equipment. SCHMOTZER Hacktechnik has been part of the AMAZONE Group since 2019. Based on these core competencies, AMAZONE is now the specialist for intelligent crop production in agriculture. Further information: </w:t>
      </w:r>
      <w:hyperlink r:id="rId12" w:history="1">
        <w:r w:rsidRPr="001C0F6E">
          <w:rPr>
            <w:rStyle w:val="Hyperlink"/>
            <w:rFonts w:ascii="Arial" w:hAnsi="Arial" w:cs="Arial"/>
            <w:sz w:val="20"/>
            <w:szCs w:val="20"/>
            <w:lang w:val="en-GB"/>
          </w:rPr>
          <w:t>www.amazone.net</w:t>
        </w:r>
      </w:hyperlink>
    </w:p>
    <w:p w14:paraId="5A21405E" w14:textId="77777777" w:rsidR="001C0F6E" w:rsidRPr="001C0F6E" w:rsidRDefault="001C0F6E" w:rsidP="001C0F6E">
      <w:pPr>
        <w:tabs>
          <w:tab w:val="left" w:pos="3550"/>
        </w:tabs>
        <w:spacing w:line="360" w:lineRule="auto"/>
        <w:ind w:left="567" w:right="2262"/>
        <w:rPr>
          <w:rFonts w:ascii="Arial" w:hAnsi="Arial" w:cs="Arial"/>
          <w:b/>
          <w:bCs/>
          <w:color w:val="808080" w:themeColor="background1" w:themeShade="80"/>
          <w:sz w:val="20"/>
          <w:szCs w:val="20"/>
          <w:lang w:val="en-GB"/>
        </w:rPr>
      </w:pPr>
      <w:r w:rsidRPr="001C0F6E">
        <w:rPr>
          <w:rFonts w:ascii="Arial" w:hAnsi="Arial" w:cs="Arial"/>
          <w:b/>
          <w:bCs/>
          <w:noProof/>
          <w:color w:val="808080" w:themeColor="background1" w:themeShade="80"/>
          <w:sz w:val="20"/>
          <w:szCs w:val="20"/>
        </w:rPr>
        <w:drawing>
          <wp:inline distT="0" distB="0" distL="0" distR="0" wp14:anchorId="48AF4E2F" wp14:editId="08573A78">
            <wp:extent cx="241300" cy="241300"/>
            <wp:effectExtent l="0" t="0" r="6350" b="6350"/>
            <wp:docPr id="13" name="Grafik 13" descr="cid:FB_70d43fd1-a841-4de4-bbaa-3e1f495f95d3.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3"/>
                    </pic:cNvPr>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C0F6E">
        <w:rPr>
          <w:rFonts w:ascii="Arial" w:hAnsi="Arial" w:cs="Arial"/>
          <w:b/>
          <w:bCs/>
          <w:color w:val="808080" w:themeColor="background1" w:themeShade="80"/>
          <w:sz w:val="20"/>
          <w:szCs w:val="20"/>
          <w:lang w:val="en-GB"/>
        </w:rPr>
        <w:t> </w:t>
      </w:r>
      <w:r w:rsidRPr="001C0F6E">
        <w:rPr>
          <w:rFonts w:ascii="Arial" w:hAnsi="Arial" w:cs="Arial"/>
          <w:b/>
          <w:bCs/>
          <w:noProof/>
          <w:color w:val="808080" w:themeColor="background1" w:themeShade="80"/>
          <w:sz w:val="20"/>
          <w:szCs w:val="20"/>
        </w:rPr>
        <w:drawing>
          <wp:inline distT="0" distB="0" distL="0" distR="0" wp14:anchorId="156AB575" wp14:editId="39C01542">
            <wp:extent cx="241300" cy="241300"/>
            <wp:effectExtent l="0" t="0" r="6350" b="6350"/>
            <wp:docPr id="12" name="Grafik 12" descr="cid:IG_efb650a7-31e4-4674-98db-f2d2d5c58dce.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6"/>
                    </pic:cNvPr>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C0F6E">
        <w:rPr>
          <w:rFonts w:ascii="Arial" w:hAnsi="Arial" w:cs="Arial"/>
          <w:b/>
          <w:bCs/>
          <w:color w:val="808080" w:themeColor="background1" w:themeShade="80"/>
          <w:sz w:val="20"/>
          <w:szCs w:val="20"/>
          <w:lang w:val="en-GB"/>
        </w:rPr>
        <w:t> </w:t>
      </w:r>
      <w:r w:rsidRPr="001C0F6E">
        <w:rPr>
          <w:rFonts w:ascii="Arial" w:hAnsi="Arial" w:cs="Arial"/>
          <w:b/>
          <w:bCs/>
          <w:noProof/>
          <w:color w:val="808080" w:themeColor="background1" w:themeShade="80"/>
          <w:sz w:val="20"/>
          <w:szCs w:val="20"/>
        </w:rPr>
        <w:drawing>
          <wp:inline distT="0" distB="0" distL="0" distR="0" wp14:anchorId="18FC50F5" wp14:editId="22BA8186">
            <wp:extent cx="241300" cy="241300"/>
            <wp:effectExtent l="0" t="0" r="6350" b="6350"/>
            <wp:docPr id="11" name="Grafik 11" descr="cid:YT_e9180d16-5a2b-4618-92e9-22a015f9cafb.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9"/>
                    </pic:cNvPr>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C0F6E">
        <w:rPr>
          <w:rFonts w:ascii="Arial" w:hAnsi="Arial" w:cs="Arial"/>
          <w:b/>
          <w:bCs/>
          <w:color w:val="808080" w:themeColor="background1" w:themeShade="80"/>
          <w:sz w:val="20"/>
          <w:szCs w:val="20"/>
          <w:lang w:val="en-GB"/>
        </w:rPr>
        <w:t> </w:t>
      </w:r>
      <w:r w:rsidRPr="001C0F6E">
        <w:rPr>
          <w:rFonts w:ascii="Arial" w:hAnsi="Arial" w:cs="Arial"/>
          <w:b/>
          <w:bCs/>
          <w:noProof/>
          <w:color w:val="808080" w:themeColor="background1" w:themeShade="80"/>
          <w:sz w:val="20"/>
          <w:szCs w:val="20"/>
        </w:rPr>
        <w:drawing>
          <wp:inline distT="0" distB="0" distL="0" distR="0" wp14:anchorId="6807C632" wp14:editId="0D4B682C">
            <wp:extent cx="241300" cy="241300"/>
            <wp:effectExtent l="0" t="0" r="6350" b="6350"/>
            <wp:docPr id="10" name="Grafik 10" descr="cid:LinkedIn_80de4e9c-c7a3-41e3-8e11-063f7eace13d.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2"/>
                    </pic:cNvPr>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C0F6E">
        <w:rPr>
          <w:rFonts w:ascii="Arial" w:hAnsi="Arial" w:cs="Arial"/>
          <w:b/>
          <w:bCs/>
          <w:color w:val="808080" w:themeColor="background1" w:themeShade="80"/>
          <w:sz w:val="20"/>
          <w:szCs w:val="20"/>
          <w:lang w:val="en-GB"/>
        </w:rPr>
        <w:t> </w:t>
      </w:r>
      <w:r w:rsidRPr="001C0F6E">
        <w:rPr>
          <w:rFonts w:ascii="Arial" w:hAnsi="Arial" w:cs="Arial"/>
          <w:b/>
          <w:bCs/>
          <w:noProof/>
          <w:color w:val="808080" w:themeColor="background1" w:themeShade="80"/>
          <w:sz w:val="20"/>
          <w:szCs w:val="20"/>
        </w:rPr>
        <w:drawing>
          <wp:inline distT="0" distB="0" distL="0" distR="0" wp14:anchorId="20E82B11" wp14:editId="05C8DECE">
            <wp:extent cx="241300" cy="241300"/>
            <wp:effectExtent l="0" t="0" r="6350" b="6350"/>
            <wp:docPr id="7" name="Grafik 7" descr="cid:Xing1_e3730686-2953-47a9-9c47-dbaa518a920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5"/>
                    </pic:cNvPr>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C0F6E">
        <w:rPr>
          <w:rFonts w:ascii="Arial" w:hAnsi="Arial" w:cs="Arial"/>
          <w:b/>
          <w:bCs/>
          <w:color w:val="808080" w:themeColor="background1" w:themeShade="80"/>
          <w:sz w:val="20"/>
          <w:szCs w:val="20"/>
          <w:lang w:val="en-GB"/>
        </w:rPr>
        <w:t> </w:t>
      </w:r>
    </w:p>
    <w:p w14:paraId="252D2E94" w14:textId="442C3E28" w:rsidR="00A46482" w:rsidRDefault="00A46482" w:rsidP="001C0F6E">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28"/>
      <w:footerReference w:type="default" r:id="rId2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8BC334" w14:textId="77777777" w:rsidR="00360F95" w:rsidRDefault="00360F95">
      <w:r>
        <w:separator/>
      </w:r>
    </w:p>
  </w:endnote>
  <w:endnote w:type="continuationSeparator" w:id="0">
    <w:p w14:paraId="1FECD883" w14:textId="77777777" w:rsidR="00360F95" w:rsidRDefault="00360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574D11A3" w:rsidR="005E0980" w:rsidRDefault="00147389" w:rsidP="001C0F6E">
    <w:pPr>
      <w:pStyle w:val="Fuzeile"/>
      <w:tabs>
        <w:tab w:val="clear" w:pos="4536"/>
        <w:tab w:val="clear" w:pos="9072"/>
        <w:tab w:val="left" w:pos="2059"/>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0614939" w14:textId="77777777" w:rsidR="001C0F6E" w:rsidRPr="0093254A" w:rsidRDefault="001C0F6E" w:rsidP="001C0F6E">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650C7">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650C7">
                            <w:rPr>
                              <w:rFonts w:ascii="Arial" w:hAnsi="Arial"/>
                              <w:noProof/>
                              <w:sz w:val="20"/>
                            </w:rPr>
                            <w:t>4</w:t>
                          </w:r>
                          <w:r w:rsidRPr="0093254A">
                            <w:rPr>
                              <w:rFonts w:ascii="Arial" w:hAnsi="Arial"/>
                              <w:sz w:val="20"/>
                            </w:rPr>
                            <w:fldChar w:fldCharType="end"/>
                          </w:r>
                        </w:p>
                        <w:p w14:paraId="0F7BE6E8" w14:textId="1493AD05"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0614939" w14:textId="77777777" w:rsidR="001C0F6E" w:rsidRPr="0093254A" w:rsidRDefault="001C0F6E" w:rsidP="001C0F6E">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650C7">
                      <w:rPr>
                        <w:rFonts w:ascii="Arial" w:hAnsi="Arial"/>
                        <w:noProof/>
                        <w:sz w:val="20"/>
                      </w:rPr>
                      <w:t>4</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650C7">
                      <w:rPr>
                        <w:rFonts w:ascii="Arial" w:hAnsi="Arial"/>
                        <w:noProof/>
                        <w:sz w:val="20"/>
                      </w:rPr>
                      <w:t>4</w:t>
                    </w:r>
                    <w:r w:rsidRPr="0093254A">
                      <w:rPr>
                        <w:rFonts w:ascii="Arial" w:hAnsi="Arial"/>
                        <w:sz w:val="20"/>
                      </w:rPr>
                      <w:fldChar w:fldCharType="end"/>
                    </w:r>
                  </w:p>
                  <w:p w14:paraId="0F7BE6E8" w14:textId="1493AD05"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BFE61D" w14:textId="77777777" w:rsidR="001C0F6E" w:rsidRPr="0093254A" w:rsidRDefault="001C0F6E" w:rsidP="001C0F6E">
                          <w:pPr>
                            <w:spacing w:line="280" w:lineRule="exact"/>
                            <w:rPr>
                              <w:rFonts w:ascii="Arial" w:hAnsi="Arial"/>
                              <w:spacing w:val="2"/>
                              <w:sz w:val="20"/>
                            </w:rPr>
                          </w:pPr>
                          <w:r>
                            <w:rPr>
                              <w:rFonts w:ascii="Arial" w:hAnsi="Arial"/>
                              <w:sz w:val="20"/>
                            </w:rPr>
                            <w:t>AMAZONEN-WERKE H. DREYER SE &amp; Co. KG ∙ Am Amazonenwerk 9–13 ∙ 49205 Hasbergen-Gaste, Germany</w:t>
                          </w:r>
                        </w:p>
                        <w:p w14:paraId="33EBC3D2" w14:textId="77777777" w:rsidR="001C0F6E" w:rsidRPr="00A926F9" w:rsidRDefault="001C0F6E" w:rsidP="001C0F6E">
                          <w:pPr>
                            <w:spacing w:line="280" w:lineRule="exact"/>
                            <w:rPr>
                              <w:rFonts w:ascii="Arial" w:hAnsi="Arial"/>
                              <w:spacing w:val="2"/>
                              <w:sz w:val="20"/>
                              <w:lang w:val="en-GB"/>
                            </w:rPr>
                          </w:pPr>
                          <w:r w:rsidRPr="00A926F9">
                            <w:rPr>
                              <w:rFonts w:ascii="Arial" w:hAnsi="Arial"/>
                              <w:sz w:val="20"/>
                              <w:lang w:val="en-GB"/>
                            </w:rPr>
                            <w:t>Telephone +49 (0)5405 501-0 ∙ amazone@amazone.de ∙ www.amazone.net</w:t>
                          </w:r>
                        </w:p>
                        <w:p w14:paraId="60FD3ABD" w14:textId="275481C7" w:rsidR="005E0980" w:rsidRPr="00A926F9"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3BFE61D" w14:textId="77777777" w:rsidR="001C0F6E" w:rsidRPr="0093254A" w:rsidRDefault="001C0F6E" w:rsidP="001C0F6E">
                    <w:pPr>
                      <w:spacing w:line="280" w:lineRule="exact"/>
                      <w:rPr>
                        <w:rFonts w:ascii="Arial" w:hAnsi="Arial"/>
                        <w:spacing w:val="2"/>
                        <w:sz w:val="20"/>
                      </w:rPr>
                    </w:pPr>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33EBC3D2" w14:textId="77777777" w:rsidR="001C0F6E" w:rsidRPr="0093254A" w:rsidRDefault="001C0F6E" w:rsidP="001C0F6E">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p>
                  <w:p w14:paraId="60FD3ABD" w14:textId="275481C7" w:rsidR="005E0980" w:rsidRPr="0093254A" w:rsidRDefault="005E0980" w:rsidP="006F7755">
                    <w:pPr>
                      <w:spacing w:line="280" w:lineRule="exact"/>
                      <w:rPr>
                        <w:rFonts w:ascii="Arial" w:hAnsi="Arial"/>
                        <w:spacing w:val="2"/>
                        <w:sz w:val="20"/>
                      </w:rPr>
                    </w:pPr>
                  </w:p>
                </w:txbxContent>
              </v:textbox>
            </v:shape>
          </w:pict>
        </mc:Fallback>
      </mc:AlternateContent>
    </w:r>
    <w:r w:rsidR="001C0F6E">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CF81F0" w14:textId="77777777" w:rsidR="00360F95" w:rsidRDefault="00360F95">
      <w:r>
        <w:separator/>
      </w:r>
    </w:p>
  </w:footnote>
  <w:footnote w:type="continuationSeparator" w:id="0">
    <w:p w14:paraId="20DFFFA3" w14:textId="77777777" w:rsidR="00360F95" w:rsidRDefault="00360F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0F6E"/>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664D"/>
    <w:rsid w:val="00360F95"/>
    <w:rsid w:val="00364017"/>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3143"/>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0395"/>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161"/>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26F9"/>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1C8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0C7"/>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1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F3F39-31D3-4EEC-B728-71023969D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397</Words>
  <Characters>2508</Characters>
  <Application>Microsoft Office Word</Application>
  <DocSecurity>0</DocSecurity>
  <Lines>20</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2900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2021-10-08T14:38:00Z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