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7500C2" w14:textId="1ACCA945" w:rsidR="00340B61" w:rsidRPr="009424B9" w:rsidRDefault="009424B9" w:rsidP="009424B9">
      <w:pPr>
        <w:spacing w:after="120" w:line="360" w:lineRule="auto"/>
        <w:ind w:left="567" w:right="1695"/>
        <w:rPr>
          <w:rFonts w:ascii="Arial" w:hAnsi="Arial" w:cs="Arial"/>
          <w:b/>
          <w:bCs/>
          <w:sz w:val="28"/>
          <w:szCs w:val="28"/>
          <w:lang w:val="en-GB"/>
        </w:rPr>
      </w:pPr>
      <w:r w:rsidRPr="009424B9">
        <w:rPr>
          <w:rFonts w:ascii="Arial" w:hAnsi="Arial" w:cs="Arial"/>
          <w:b/>
          <w:bCs/>
          <w:sz w:val="28"/>
          <w:szCs w:val="28"/>
          <w:lang w:val="en-GB"/>
        </w:rPr>
        <w:t xml:space="preserve">KE 02 </w:t>
      </w:r>
      <w:proofErr w:type="spellStart"/>
      <w:r w:rsidRPr="009424B9">
        <w:rPr>
          <w:rFonts w:ascii="Arial" w:hAnsi="Arial" w:cs="Arial"/>
          <w:b/>
          <w:bCs/>
          <w:sz w:val="28"/>
          <w:szCs w:val="28"/>
          <w:lang w:val="en-GB"/>
        </w:rPr>
        <w:t>Rotamix</w:t>
      </w:r>
      <w:proofErr w:type="spellEnd"/>
      <w:r w:rsidRPr="009424B9">
        <w:rPr>
          <w:rFonts w:ascii="Arial" w:hAnsi="Arial" w:cs="Arial"/>
          <w:b/>
          <w:bCs/>
          <w:sz w:val="28"/>
          <w:szCs w:val="28"/>
          <w:lang w:val="en-GB"/>
        </w:rPr>
        <w:t xml:space="preserve"> rotary harrow</w:t>
      </w:r>
    </w:p>
    <w:p w14:paraId="0AA90175" w14:textId="77777777" w:rsidR="009424B9" w:rsidRPr="009424B9" w:rsidRDefault="009424B9" w:rsidP="009424B9">
      <w:pPr>
        <w:spacing w:line="360" w:lineRule="auto"/>
        <w:ind w:left="567" w:right="1695"/>
        <w:rPr>
          <w:rFonts w:ascii="Arial" w:hAnsi="Arial" w:cs="Arial"/>
          <w:b/>
          <w:bCs/>
          <w:lang w:val="en-GB"/>
        </w:rPr>
      </w:pPr>
      <w:r w:rsidRPr="009424B9">
        <w:rPr>
          <w:rFonts w:ascii="Arial" w:hAnsi="Arial" w:cs="Arial"/>
          <w:b/>
          <w:bCs/>
          <w:lang w:val="en-GB"/>
        </w:rPr>
        <w:t>High-output new models in working widths of 3, 4, or 6 m</w:t>
      </w:r>
    </w:p>
    <w:p w14:paraId="77523A59" w14:textId="77777777" w:rsidR="00070765" w:rsidRDefault="00070765" w:rsidP="00330541">
      <w:pPr>
        <w:spacing w:line="360" w:lineRule="auto"/>
        <w:ind w:left="567" w:right="1695"/>
        <w:rPr>
          <w:rFonts w:ascii="Arial" w:hAnsi="Arial" w:cs="Arial"/>
        </w:rPr>
      </w:pPr>
    </w:p>
    <w:p w14:paraId="1653A2CB" w14:textId="017E3C17"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AMAZONE offers new rotary harrows for high tractor power ratings of up to 240 HP, at a working width of 3 m and up to 400 HP at a working width of 6 m. The new KE 02, in 3 m, 4 m and 6 m working widths and featuring the innovative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system, comes into its own when intensively soil crumbling, especially on heavy ground.</w:t>
      </w:r>
    </w:p>
    <w:p w14:paraId="62D3F68D" w14:textId="77777777" w:rsidR="009424B9" w:rsidRPr="009424B9" w:rsidRDefault="009424B9" w:rsidP="009424B9">
      <w:pPr>
        <w:spacing w:after="120" w:line="360" w:lineRule="auto"/>
        <w:ind w:left="567" w:right="1695"/>
        <w:rPr>
          <w:rFonts w:ascii="Arial" w:eastAsia="Arial" w:hAnsi="Arial" w:cs="Arial"/>
          <w:lang w:val="en-GB"/>
        </w:rPr>
      </w:pPr>
    </w:p>
    <w:p w14:paraId="2198F973" w14:textId="77777777" w:rsidR="009424B9" w:rsidRPr="009424B9" w:rsidRDefault="009424B9" w:rsidP="009424B9">
      <w:pPr>
        <w:spacing w:after="120" w:line="360" w:lineRule="auto"/>
        <w:ind w:left="567" w:right="1695"/>
        <w:rPr>
          <w:rFonts w:ascii="Arial" w:eastAsia="Arial" w:hAnsi="Arial" w:cs="Arial"/>
          <w:b/>
          <w:bCs/>
          <w:lang w:val="en-GB"/>
        </w:rPr>
      </w:pPr>
      <w:r w:rsidRPr="009424B9">
        <w:rPr>
          <w:rFonts w:ascii="Arial" w:eastAsia="Arial" w:hAnsi="Arial" w:cs="Arial"/>
          <w:b/>
          <w:bCs/>
          <w:lang w:val="en-GB"/>
        </w:rPr>
        <w:t xml:space="preserve">The </w:t>
      </w:r>
      <w:proofErr w:type="spellStart"/>
      <w:r w:rsidRPr="009424B9">
        <w:rPr>
          <w:rFonts w:ascii="Arial" w:eastAsia="Arial" w:hAnsi="Arial" w:cs="Arial"/>
          <w:b/>
          <w:bCs/>
          <w:lang w:val="en-GB"/>
        </w:rPr>
        <w:t>Rotamix</w:t>
      </w:r>
      <w:proofErr w:type="spellEnd"/>
      <w:r w:rsidRPr="009424B9">
        <w:rPr>
          <w:rFonts w:ascii="Arial" w:eastAsia="Arial" w:hAnsi="Arial" w:cs="Arial"/>
          <w:b/>
          <w:bCs/>
          <w:lang w:val="en-GB"/>
        </w:rPr>
        <w:t xml:space="preserve"> system – close-coupled, compact and with two extra tool carriers</w:t>
      </w:r>
    </w:p>
    <w:p w14:paraId="04A670FF"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The KE 02 with the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system has four tool carriers per metre of working width. The incoming power is evenly distributed across these rotors. The trailing tines produce a very good crumb structure meaning that the new rotary harrow achieves excellent results on heavy ground and is suitable for creating the optimum seedbed, especially after ploughing.</w:t>
      </w:r>
    </w:p>
    <w:p w14:paraId="00498D4E"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The four tool carriers per metre working width facilitates a small spur gear diameter. This layout meant that a very compact and light design of the robust rotary harrow trough was possible. This compact design of the rotary harrow reduces the lift capacity requirement on the tractor and any harrow-mounted seed drill is positioned very close to the tractor when used in a drill combination. The lifting power requirement is therefore lower than that of other rotary harrows, which also makes for a positive impact on front ballasting.</w:t>
      </w:r>
    </w:p>
    <w:p w14:paraId="20BE9253" w14:textId="78A661E7"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The Long-Life-Drive system ensures a long service life and very smooth running. The double sealing system with cassette seal and labyrinth seal protects against dust, moisture and dirt ingress. The tried and tested Quick+ Safe system provides the 290 mm tines with an integrated stone release plus the tines can be easily exchanged without the need for tools.</w:t>
      </w:r>
    </w:p>
    <w:p w14:paraId="2206C8B1" w14:textId="52A2F7BA" w:rsidR="00F56F7D" w:rsidRDefault="00F56F7D">
      <w:pPr>
        <w:rPr>
          <w:rFonts w:ascii="Arial" w:eastAsia="Arial" w:hAnsi="Arial" w:cs="Arial"/>
          <w:lang w:val="en-GB"/>
        </w:rPr>
      </w:pPr>
      <w:r>
        <w:rPr>
          <w:rFonts w:ascii="Arial" w:eastAsia="Arial" w:hAnsi="Arial" w:cs="Arial"/>
          <w:lang w:val="en-GB"/>
        </w:rPr>
        <w:br w:type="page"/>
      </w:r>
    </w:p>
    <w:p w14:paraId="4A003B57" w14:textId="77777777" w:rsidR="009424B9" w:rsidRPr="009424B9" w:rsidRDefault="009424B9" w:rsidP="009424B9">
      <w:pPr>
        <w:spacing w:after="120" w:line="360" w:lineRule="auto"/>
        <w:ind w:left="567" w:right="1695"/>
        <w:rPr>
          <w:rFonts w:ascii="Arial" w:eastAsia="Arial" w:hAnsi="Arial" w:cs="Arial"/>
          <w:b/>
          <w:bCs/>
          <w:lang w:val="en-GB"/>
        </w:rPr>
      </w:pPr>
      <w:bookmarkStart w:id="0" w:name="_GoBack"/>
      <w:bookmarkEnd w:id="0"/>
      <w:r w:rsidRPr="009424B9">
        <w:rPr>
          <w:rFonts w:ascii="Arial" w:eastAsia="Arial" w:hAnsi="Arial" w:cs="Arial"/>
          <w:b/>
          <w:bCs/>
          <w:lang w:val="en-GB"/>
        </w:rPr>
        <w:lastRenderedPageBreak/>
        <w:t xml:space="preserve">A higher class of performance with the </w:t>
      </w:r>
      <w:proofErr w:type="spellStart"/>
      <w:r w:rsidRPr="009424B9">
        <w:rPr>
          <w:rFonts w:ascii="Arial" w:eastAsia="Arial" w:hAnsi="Arial" w:cs="Arial"/>
          <w:b/>
          <w:bCs/>
          <w:lang w:val="en-GB"/>
        </w:rPr>
        <w:t>DirectDrive</w:t>
      </w:r>
      <w:proofErr w:type="spellEnd"/>
      <w:r w:rsidRPr="009424B9">
        <w:rPr>
          <w:rFonts w:ascii="Arial" w:eastAsia="Arial" w:hAnsi="Arial" w:cs="Arial"/>
          <w:b/>
          <w:bCs/>
          <w:lang w:val="en-GB"/>
        </w:rPr>
        <w:t xml:space="preserve"> gearbox</w:t>
      </w:r>
    </w:p>
    <w:p w14:paraId="05F161E2" w14:textId="794DE5D2"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At the heart of the new KE 02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is the </w:t>
      </w:r>
      <w:proofErr w:type="spellStart"/>
      <w:r w:rsidRPr="009424B9">
        <w:rPr>
          <w:rFonts w:ascii="Arial" w:eastAsia="Arial" w:hAnsi="Arial" w:cs="Arial"/>
          <w:lang w:val="en-GB"/>
        </w:rPr>
        <w:t>DirectDrive</w:t>
      </w:r>
      <w:proofErr w:type="spellEnd"/>
      <w:r w:rsidRPr="009424B9">
        <w:rPr>
          <w:rFonts w:ascii="Arial" w:eastAsia="Arial" w:hAnsi="Arial" w:cs="Arial"/>
          <w:lang w:val="en-GB"/>
        </w:rPr>
        <w:t xml:space="preserve"> gearbox, via which the higher power flow is transmitted directly to the spur gears of the tool carriers. As in the case of the KX and KG rotary cultivators, there is no power redirection thus ensuring an excellent, low-wear, power transmission. The 3 m and 4 m working width rotary harrows can be used with PTO shaft speeds of 540, 750 and 1,000 rpm - at 6 m working width it is 1,000 rpm. Exchange gear sets allow the harrow rotor speed to be adapted to different soil conditions and the tractor PTO shaft speed.</w:t>
      </w:r>
    </w:p>
    <w:p w14:paraId="3C7699FB" w14:textId="77777777" w:rsidR="009424B9" w:rsidRPr="009424B9" w:rsidRDefault="009424B9" w:rsidP="009424B9">
      <w:pPr>
        <w:spacing w:after="120" w:line="360" w:lineRule="auto"/>
        <w:ind w:left="567" w:right="1695"/>
        <w:rPr>
          <w:rFonts w:ascii="Arial" w:eastAsia="Arial" w:hAnsi="Arial" w:cs="Arial"/>
          <w:lang w:val="en-GB"/>
        </w:rPr>
      </w:pPr>
    </w:p>
    <w:p w14:paraId="1844D673" w14:textId="77777777" w:rsidR="009424B9" w:rsidRPr="009424B9" w:rsidRDefault="009424B9" w:rsidP="009424B9">
      <w:pPr>
        <w:spacing w:after="120" w:line="360" w:lineRule="auto"/>
        <w:ind w:left="567" w:right="1695"/>
        <w:rPr>
          <w:rFonts w:ascii="Arial" w:eastAsia="Arial" w:hAnsi="Arial" w:cs="Arial"/>
          <w:b/>
          <w:bCs/>
          <w:lang w:val="en-GB"/>
        </w:rPr>
      </w:pPr>
      <w:proofErr w:type="spellStart"/>
      <w:r w:rsidRPr="009424B9">
        <w:rPr>
          <w:rFonts w:ascii="Arial" w:eastAsia="Arial" w:hAnsi="Arial" w:cs="Arial"/>
          <w:b/>
          <w:bCs/>
          <w:lang w:val="en-GB"/>
        </w:rPr>
        <w:t>QuickLink</w:t>
      </w:r>
      <w:proofErr w:type="spellEnd"/>
      <w:r w:rsidRPr="009424B9">
        <w:rPr>
          <w:rFonts w:ascii="Arial" w:eastAsia="Arial" w:hAnsi="Arial" w:cs="Arial"/>
          <w:b/>
          <w:bCs/>
          <w:lang w:val="en-GB"/>
        </w:rPr>
        <w:t xml:space="preserve"> quick coupling system for 3 m and 4 m working widths</w:t>
      </w:r>
    </w:p>
    <w:p w14:paraId="23E3A7DC" w14:textId="2CFE1338"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The entire AMAZONE active soil tillage range with a working width of 3 m and 4 m is available with the </w:t>
      </w:r>
      <w:proofErr w:type="spellStart"/>
      <w:r w:rsidRPr="009424B9">
        <w:rPr>
          <w:rFonts w:ascii="Arial" w:eastAsia="Arial" w:hAnsi="Arial" w:cs="Arial"/>
          <w:lang w:val="en-GB"/>
        </w:rPr>
        <w:t>QuickLink</w:t>
      </w:r>
      <w:proofErr w:type="spellEnd"/>
      <w:r w:rsidRPr="009424B9">
        <w:rPr>
          <w:rFonts w:ascii="Arial" w:eastAsia="Arial" w:hAnsi="Arial" w:cs="Arial"/>
          <w:lang w:val="en-GB"/>
        </w:rPr>
        <w:t xml:space="preserve"> quick coupling system for maximum flexibility. The new rigid KE 02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models can also be mounted under different seed drills via the </w:t>
      </w:r>
      <w:proofErr w:type="spellStart"/>
      <w:r w:rsidRPr="009424B9">
        <w:rPr>
          <w:rFonts w:ascii="Arial" w:eastAsia="Arial" w:hAnsi="Arial" w:cs="Arial"/>
          <w:lang w:val="en-GB"/>
        </w:rPr>
        <w:t>QuickLink</w:t>
      </w:r>
      <w:proofErr w:type="spellEnd"/>
      <w:r w:rsidRPr="009424B9">
        <w:rPr>
          <w:rFonts w:ascii="Arial" w:eastAsia="Arial" w:hAnsi="Arial" w:cs="Arial"/>
          <w:lang w:val="en-GB"/>
        </w:rPr>
        <w:t xml:space="preserve"> system with very little effort. The KE 02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forms a compact team with the </w:t>
      </w:r>
      <w:proofErr w:type="spellStart"/>
      <w:r w:rsidRPr="009424B9">
        <w:rPr>
          <w:rFonts w:ascii="Arial" w:eastAsia="Arial" w:hAnsi="Arial" w:cs="Arial"/>
          <w:lang w:val="en-GB"/>
        </w:rPr>
        <w:t>Cataya</w:t>
      </w:r>
      <w:proofErr w:type="spellEnd"/>
      <w:r w:rsidRPr="009424B9">
        <w:rPr>
          <w:rFonts w:ascii="Arial" w:eastAsia="Arial" w:hAnsi="Arial" w:cs="Arial"/>
          <w:lang w:val="en-GB"/>
        </w:rPr>
        <w:t xml:space="preserve"> harrow-mounted conventional seed drill and the Avant 02 pneumatic front tank system. Thanks to the reinforced headstock, the </w:t>
      </w:r>
      <w:proofErr w:type="spellStart"/>
      <w:r w:rsidRPr="009424B9">
        <w:rPr>
          <w:rFonts w:ascii="Arial" w:eastAsia="Arial" w:hAnsi="Arial" w:cs="Arial"/>
          <w:lang w:val="en-GB"/>
        </w:rPr>
        <w:t>Centaya</w:t>
      </w:r>
      <w:proofErr w:type="spellEnd"/>
      <w:r w:rsidRPr="009424B9">
        <w:rPr>
          <w:rFonts w:ascii="Arial" w:eastAsia="Arial" w:hAnsi="Arial" w:cs="Arial"/>
          <w:lang w:val="en-GB"/>
        </w:rPr>
        <w:t xml:space="preserve"> Super pneumatic seed drill can now also be used with this new rotary harrow. The new </w:t>
      </w:r>
      <w:proofErr w:type="spellStart"/>
      <w:r w:rsidRPr="009424B9">
        <w:rPr>
          <w:rFonts w:ascii="Arial" w:eastAsia="Arial" w:hAnsi="Arial" w:cs="Arial"/>
          <w:lang w:val="en-GB"/>
        </w:rPr>
        <w:t>Precea</w:t>
      </w:r>
      <w:proofErr w:type="spellEnd"/>
      <w:r w:rsidRPr="009424B9">
        <w:rPr>
          <w:rFonts w:ascii="Arial" w:eastAsia="Arial" w:hAnsi="Arial" w:cs="Arial"/>
          <w:lang w:val="en-GB"/>
        </w:rPr>
        <w:t xml:space="preserve">-A harrow-mounted precision air </w:t>
      </w:r>
      <w:proofErr w:type="spellStart"/>
      <w:r w:rsidRPr="009424B9">
        <w:rPr>
          <w:rFonts w:ascii="Arial" w:eastAsia="Arial" w:hAnsi="Arial" w:cs="Arial"/>
          <w:lang w:val="en-GB"/>
        </w:rPr>
        <w:t>seeder</w:t>
      </w:r>
      <w:proofErr w:type="spellEnd"/>
      <w:r w:rsidRPr="009424B9">
        <w:rPr>
          <w:rFonts w:ascii="Arial" w:eastAsia="Arial" w:hAnsi="Arial" w:cs="Arial"/>
          <w:lang w:val="en-GB"/>
        </w:rPr>
        <w:t xml:space="preserve"> can also be connected without tools and, it goes without saying, that a combination with the D9 mounted conventional seed drill via the “</w:t>
      </w:r>
      <w:proofErr w:type="spellStart"/>
      <w:r w:rsidRPr="009424B9">
        <w:rPr>
          <w:rFonts w:ascii="Arial" w:eastAsia="Arial" w:hAnsi="Arial" w:cs="Arial"/>
          <w:lang w:val="en-GB"/>
        </w:rPr>
        <w:t>Liftpack</w:t>
      </w:r>
      <w:proofErr w:type="spellEnd"/>
      <w:r w:rsidRPr="009424B9">
        <w:rPr>
          <w:rFonts w:ascii="Arial" w:eastAsia="Arial" w:hAnsi="Arial" w:cs="Arial"/>
          <w:lang w:val="en-GB"/>
        </w:rPr>
        <w:t>” system is also possible.</w:t>
      </w:r>
    </w:p>
    <w:p w14:paraId="2A340770" w14:textId="77777777" w:rsidR="009424B9" w:rsidRPr="009424B9" w:rsidRDefault="009424B9" w:rsidP="009424B9">
      <w:pPr>
        <w:spacing w:after="120" w:line="360" w:lineRule="auto"/>
        <w:ind w:left="567" w:right="1695"/>
        <w:rPr>
          <w:rFonts w:ascii="Arial" w:eastAsia="Arial" w:hAnsi="Arial" w:cs="Arial"/>
          <w:lang w:val="en-GB"/>
        </w:rPr>
      </w:pPr>
    </w:p>
    <w:p w14:paraId="6FAB7198" w14:textId="77777777" w:rsidR="009424B9" w:rsidRPr="009424B9" w:rsidRDefault="009424B9" w:rsidP="009424B9">
      <w:pPr>
        <w:spacing w:after="120" w:line="360" w:lineRule="auto"/>
        <w:ind w:left="567" w:right="1695"/>
        <w:rPr>
          <w:rFonts w:ascii="Arial" w:eastAsia="Arial" w:hAnsi="Arial" w:cs="Arial"/>
          <w:b/>
          <w:bCs/>
          <w:lang w:val="en-GB"/>
        </w:rPr>
      </w:pPr>
      <w:r w:rsidRPr="009424B9">
        <w:rPr>
          <w:rFonts w:ascii="Arial" w:eastAsia="Arial" w:hAnsi="Arial" w:cs="Arial"/>
          <w:b/>
          <w:bCs/>
          <w:lang w:val="en-GB"/>
        </w:rPr>
        <w:t>Setting and tools</w:t>
      </w:r>
    </w:p>
    <w:p w14:paraId="1F31C9C9"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The optional hydraulic depth control is a new feature of the KE 02. This allows the rotary harrow to be easily tailored to the field and operating conditions from the tractor cab whilst on the move. A scale assists in constant monitoring of the working depth.</w:t>
      </w:r>
    </w:p>
    <w:p w14:paraId="5416D758"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Extendable lower links allow the rigid version of the KE 02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to be individually aligned for any tractor size. This also facilitates attachment of tractor </w:t>
      </w:r>
      <w:r w:rsidRPr="009424B9">
        <w:rPr>
          <w:rFonts w:ascii="Arial" w:eastAsia="Arial" w:hAnsi="Arial" w:cs="Arial"/>
          <w:lang w:val="en-GB"/>
        </w:rPr>
        <w:lastRenderedPageBreak/>
        <w:t>wheel mark eradicators. In addition, the lower links can be adapted to suit linkage dimensions of Cat. 3 or Cat. 3N.</w:t>
      </w:r>
    </w:p>
    <w:p w14:paraId="0B503512" w14:textId="290E2117"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The height of the levelling board for levelling the soil is precisely guided by the roller. The levelling board also deflects upwards thanks to the integrated overload protection. A universal setting tool is offered for precise adjustment, which can also be used for many other adjustments on the machine, such as for adjusting the height of the side plates or for setting the track markers.</w:t>
      </w:r>
    </w:p>
    <w:p w14:paraId="1E183B2F" w14:textId="77777777" w:rsidR="009424B9" w:rsidRPr="009424B9" w:rsidRDefault="009424B9" w:rsidP="009424B9">
      <w:pPr>
        <w:spacing w:after="120" w:line="360" w:lineRule="auto"/>
        <w:ind w:left="567" w:right="1695"/>
        <w:rPr>
          <w:rFonts w:ascii="Arial" w:eastAsia="Arial" w:hAnsi="Arial" w:cs="Arial"/>
          <w:lang w:val="en-GB"/>
        </w:rPr>
      </w:pPr>
    </w:p>
    <w:p w14:paraId="1F10AECF" w14:textId="77777777" w:rsidR="009424B9" w:rsidRPr="009424B9" w:rsidRDefault="009424B9" w:rsidP="009424B9">
      <w:pPr>
        <w:spacing w:after="120" w:line="360" w:lineRule="auto"/>
        <w:ind w:left="567" w:right="1695"/>
        <w:rPr>
          <w:rFonts w:ascii="Arial" w:eastAsia="Arial" w:hAnsi="Arial" w:cs="Arial"/>
          <w:b/>
          <w:bCs/>
          <w:lang w:val="en-GB"/>
        </w:rPr>
      </w:pPr>
      <w:r w:rsidRPr="009424B9">
        <w:rPr>
          <w:rFonts w:ascii="Arial" w:eastAsia="Arial" w:hAnsi="Arial" w:cs="Arial"/>
          <w:b/>
          <w:bCs/>
          <w:lang w:val="en-GB"/>
        </w:rPr>
        <w:t>Versatile roller range</w:t>
      </w:r>
    </w:p>
    <w:p w14:paraId="5E0F08AC" w14:textId="22A34D06" w:rsid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Numerous roller types with different diameters for targeted reconsolidation are available for a wide range of site-specific requirements. The extensive range extends from the light cage roller to the wedge ring roller, which is also available in the matrix profile, the trapezium roller and the tooth packer roller for medium to heavy soils.</w:t>
      </w:r>
    </w:p>
    <w:p w14:paraId="6DCE9593" w14:textId="77777777" w:rsidR="009424B9" w:rsidRPr="009424B9" w:rsidRDefault="009424B9" w:rsidP="009424B9">
      <w:pPr>
        <w:spacing w:after="120" w:line="360" w:lineRule="auto"/>
        <w:ind w:left="567" w:right="1695"/>
        <w:rPr>
          <w:rFonts w:ascii="Arial" w:eastAsia="Arial" w:hAnsi="Arial" w:cs="Arial"/>
          <w:lang w:val="en-GB"/>
        </w:rPr>
      </w:pPr>
    </w:p>
    <w:p w14:paraId="01CCA7A6" w14:textId="77777777" w:rsidR="009424B9" w:rsidRPr="009424B9" w:rsidRDefault="009424B9" w:rsidP="009424B9">
      <w:pPr>
        <w:spacing w:after="120" w:line="360" w:lineRule="auto"/>
        <w:ind w:left="567" w:right="1695"/>
        <w:rPr>
          <w:rFonts w:ascii="Arial" w:eastAsia="Arial" w:hAnsi="Arial" w:cs="Arial"/>
          <w:b/>
          <w:bCs/>
          <w:lang w:val="en-GB"/>
        </w:rPr>
      </w:pPr>
      <w:r w:rsidRPr="009424B9">
        <w:rPr>
          <w:rFonts w:ascii="Arial" w:eastAsia="Arial" w:hAnsi="Arial" w:cs="Arial"/>
          <w:b/>
          <w:bCs/>
          <w:lang w:val="en-GB"/>
        </w:rPr>
        <w:t>The advantages at a glance:</w:t>
      </w:r>
    </w:p>
    <w:p w14:paraId="234833C5" w14:textId="294D23A9" w:rsidR="009424B9" w:rsidRPr="009424B9" w:rsidRDefault="009424B9" w:rsidP="009424B9">
      <w:pPr>
        <w:pStyle w:val="Listenabsatz"/>
        <w:numPr>
          <w:ilvl w:val="0"/>
          <w:numId w:val="8"/>
        </w:numPr>
        <w:spacing w:after="120" w:line="360" w:lineRule="auto"/>
        <w:ind w:right="1695"/>
        <w:rPr>
          <w:rFonts w:ascii="Arial" w:eastAsia="Arial" w:hAnsi="Arial" w:cs="Arial"/>
          <w:lang w:val="en-GB"/>
        </w:rPr>
      </w:pPr>
      <w:r w:rsidRPr="009424B9">
        <w:rPr>
          <w:rFonts w:ascii="Arial" w:eastAsia="Arial" w:hAnsi="Arial" w:cs="Arial"/>
          <w:lang w:val="en-GB"/>
        </w:rPr>
        <w:t xml:space="preserve">Direct power transmission and long service life thanks to </w:t>
      </w:r>
      <w:proofErr w:type="spellStart"/>
      <w:r w:rsidRPr="009424B9">
        <w:rPr>
          <w:rFonts w:ascii="Arial" w:eastAsia="Arial" w:hAnsi="Arial" w:cs="Arial"/>
          <w:lang w:val="en-GB"/>
        </w:rPr>
        <w:t>DirectDrive</w:t>
      </w:r>
      <w:proofErr w:type="spellEnd"/>
      <w:r w:rsidRPr="009424B9">
        <w:rPr>
          <w:rFonts w:ascii="Arial" w:eastAsia="Arial" w:hAnsi="Arial" w:cs="Arial"/>
          <w:lang w:val="en-GB"/>
        </w:rPr>
        <w:t xml:space="preserve"> gearbox</w:t>
      </w:r>
    </w:p>
    <w:p w14:paraId="23F6C358" w14:textId="0F5DDC98" w:rsidR="009424B9" w:rsidRPr="009424B9" w:rsidRDefault="009424B9" w:rsidP="009424B9">
      <w:pPr>
        <w:pStyle w:val="Listenabsatz"/>
        <w:numPr>
          <w:ilvl w:val="0"/>
          <w:numId w:val="8"/>
        </w:numPr>
        <w:spacing w:after="120" w:line="360" w:lineRule="auto"/>
        <w:ind w:right="1695"/>
        <w:rPr>
          <w:rFonts w:ascii="Arial" w:eastAsia="Arial" w:hAnsi="Arial" w:cs="Arial"/>
          <w:lang w:val="en-GB"/>
        </w:rPr>
      </w:pPr>
      <w:r w:rsidRPr="009424B9">
        <w:rPr>
          <w:rFonts w:ascii="Arial" w:eastAsia="Arial" w:hAnsi="Arial" w:cs="Arial"/>
          <w:lang w:val="en-GB"/>
        </w:rPr>
        <w:t>High-performance due to power output of up to 240 HP or 400 HP</w:t>
      </w:r>
    </w:p>
    <w:p w14:paraId="0EEDA819" w14:textId="77777777" w:rsidR="009424B9" w:rsidRPr="009424B9" w:rsidRDefault="009424B9" w:rsidP="009424B9">
      <w:pPr>
        <w:pStyle w:val="Listenabsatz"/>
        <w:numPr>
          <w:ilvl w:val="0"/>
          <w:numId w:val="8"/>
        </w:numPr>
        <w:spacing w:after="120" w:line="360" w:lineRule="auto"/>
        <w:ind w:right="1695"/>
        <w:rPr>
          <w:rFonts w:ascii="Arial" w:eastAsia="Arial" w:hAnsi="Arial" w:cs="Arial"/>
          <w:lang w:val="en-GB"/>
        </w:rPr>
      </w:pPr>
      <w:r w:rsidRPr="009424B9">
        <w:rPr>
          <w:rFonts w:ascii="Arial" w:eastAsia="Arial" w:hAnsi="Arial" w:cs="Arial"/>
          <w:lang w:val="en-GB"/>
        </w:rPr>
        <w:t>Compact construction due to reduced tine carrier diameter</w:t>
      </w:r>
    </w:p>
    <w:p w14:paraId="6CA7592B" w14:textId="1439F80C" w:rsidR="009424B9" w:rsidRPr="009424B9" w:rsidRDefault="009424B9" w:rsidP="009424B9">
      <w:pPr>
        <w:pStyle w:val="Listenabsatz"/>
        <w:numPr>
          <w:ilvl w:val="0"/>
          <w:numId w:val="8"/>
        </w:numPr>
        <w:spacing w:after="120" w:line="360" w:lineRule="auto"/>
        <w:ind w:right="1695"/>
        <w:rPr>
          <w:rFonts w:ascii="Arial" w:eastAsia="Arial" w:hAnsi="Arial" w:cs="Arial"/>
          <w:lang w:val="en-GB"/>
        </w:rPr>
      </w:pPr>
      <w:proofErr w:type="spellStart"/>
      <w:r w:rsidRPr="009424B9">
        <w:rPr>
          <w:rFonts w:ascii="Arial" w:eastAsia="Arial" w:hAnsi="Arial" w:cs="Arial"/>
          <w:lang w:val="en-GB"/>
        </w:rPr>
        <w:t>QuickLink</w:t>
      </w:r>
      <w:proofErr w:type="spellEnd"/>
      <w:r w:rsidRPr="009424B9">
        <w:rPr>
          <w:rFonts w:ascii="Arial" w:eastAsia="Arial" w:hAnsi="Arial" w:cs="Arial"/>
          <w:lang w:val="en-GB"/>
        </w:rPr>
        <w:t xml:space="preserve"> quick coupling system for rigid KE 02 </w:t>
      </w:r>
      <w:proofErr w:type="spellStart"/>
      <w:r w:rsidRPr="009424B9">
        <w:rPr>
          <w:rFonts w:ascii="Arial" w:eastAsia="Arial" w:hAnsi="Arial" w:cs="Arial"/>
          <w:lang w:val="en-GB"/>
        </w:rPr>
        <w:t>Rotamix</w:t>
      </w:r>
      <w:proofErr w:type="spellEnd"/>
    </w:p>
    <w:p w14:paraId="6B14B729" w14:textId="4E56825A" w:rsidR="009424B9" w:rsidRPr="009424B9" w:rsidRDefault="009424B9" w:rsidP="009424B9">
      <w:pPr>
        <w:pStyle w:val="Listenabsatz"/>
        <w:numPr>
          <w:ilvl w:val="0"/>
          <w:numId w:val="8"/>
        </w:numPr>
        <w:spacing w:after="120" w:line="360" w:lineRule="auto"/>
        <w:ind w:right="1695"/>
        <w:rPr>
          <w:rFonts w:ascii="Arial" w:eastAsia="Arial" w:hAnsi="Arial" w:cs="Arial"/>
          <w:lang w:val="en-GB"/>
        </w:rPr>
      </w:pPr>
      <w:r w:rsidRPr="009424B9">
        <w:rPr>
          <w:rFonts w:ascii="Arial" w:eastAsia="Arial" w:hAnsi="Arial" w:cs="Arial"/>
          <w:lang w:val="en-GB"/>
        </w:rPr>
        <w:t>Good crumbling due to four tool carriers per metre of working width</w:t>
      </w:r>
    </w:p>
    <w:p w14:paraId="0B978747" w14:textId="67D3842B" w:rsidR="00340B61" w:rsidRPr="009424B9" w:rsidRDefault="009424B9" w:rsidP="009424B9">
      <w:pPr>
        <w:pStyle w:val="Listenabsatz"/>
        <w:numPr>
          <w:ilvl w:val="0"/>
          <w:numId w:val="8"/>
        </w:numPr>
        <w:spacing w:after="120" w:line="360" w:lineRule="auto"/>
        <w:ind w:right="1695"/>
        <w:rPr>
          <w:rFonts w:ascii="Arial" w:eastAsia="Arial" w:hAnsi="Arial" w:cs="Arial"/>
          <w:noProof/>
        </w:rPr>
      </w:pPr>
      <w:r w:rsidRPr="009424B9">
        <w:rPr>
          <w:rFonts w:ascii="Arial" w:eastAsia="Arial" w:hAnsi="Arial" w:cs="Arial"/>
          <w:lang w:val="en-GB"/>
        </w:rPr>
        <w:t>The versatile roller programme offers the right choice for any soil type</w:t>
      </w:r>
    </w:p>
    <w:p w14:paraId="6F230BC6" w14:textId="2E87AEBB" w:rsidR="00340B61" w:rsidRDefault="00340B61" w:rsidP="00070765">
      <w:pPr>
        <w:spacing w:after="120" w:line="360" w:lineRule="auto"/>
        <w:ind w:left="567" w:right="1695"/>
        <w:rPr>
          <w:rFonts w:ascii="Arial" w:eastAsia="Arial" w:hAnsi="Arial" w:cs="Arial"/>
          <w:noProof/>
        </w:rPr>
      </w:pPr>
    </w:p>
    <w:p w14:paraId="264702E5" w14:textId="77777777" w:rsidR="00340B61" w:rsidRDefault="00340B61" w:rsidP="00070765">
      <w:pPr>
        <w:spacing w:after="120" w:line="360" w:lineRule="auto"/>
        <w:ind w:left="567" w:right="1695"/>
        <w:rPr>
          <w:rFonts w:ascii="Arial" w:eastAsia="Arial" w:hAnsi="Arial" w:cs="Arial"/>
        </w:rPr>
      </w:pPr>
    </w:p>
    <w:p w14:paraId="2B53DBF6" w14:textId="41DDE49C" w:rsidR="00777125" w:rsidRDefault="00777125"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897FA34" wp14:editId="0634297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01D622"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The tool carriers are fitted with the trailing tines on the KE 02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which produce a very good crumb structure</w:t>
      </w:r>
    </w:p>
    <w:p w14:paraId="4E93A3F5" w14:textId="1105DD0D" w:rsidR="00340B61" w:rsidRDefault="00340B61" w:rsidP="00340B61">
      <w:pPr>
        <w:spacing w:after="120" w:line="360" w:lineRule="auto"/>
        <w:ind w:left="567" w:right="1695"/>
        <w:rPr>
          <w:rFonts w:ascii="Arial" w:eastAsia="Arial" w:hAnsi="Arial" w:cs="Arial"/>
        </w:rPr>
      </w:pPr>
    </w:p>
    <w:p w14:paraId="28FDF68B" w14:textId="1A285E9A" w:rsidR="00340B61" w:rsidRDefault="00340B61" w:rsidP="00340B61">
      <w:pPr>
        <w:spacing w:after="120" w:line="360" w:lineRule="auto"/>
        <w:ind w:left="567" w:right="1695"/>
        <w:rPr>
          <w:rFonts w:ascii="Arial" w:eastAsia="Arial" w:hAnsi="Arial" w:cs="Arial"/>
        </w:rPr>
      </w:pPr>
    </w:p>
    <w:p w14:paraId="19C20AA5" w14:textId="4AB5B1ED" w:rsidR="00777125"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77BF3E" wp14:editId="5C0E48D6">
            <wp:extent cx="6120000" cy="263160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093DFD46"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t xml:space="preserve">The </w:t>
      </w:r>
      <w:proofErr w:type="spellStart"/>
      <w:r w:rsidRPr="009424B9">
        <w:rPr>
          <w:rFonts w:ascii="Arial" w:eastAsia="Arial" w:hAnsi="Arial" w:cs="Arial"/>
          <w:lang w:val="en-GB"/>
        </w:rPr>
        <w:t>DirectDrive</w:t>
      </w:r>
      <w:proofErr w:type="spellEnd"/>
      <w:r w:rsidRPr="009424B9">
        <w:rPr>
          <w:rFonts w:ascii="Arial" w:eastAsia="Arial" w:hAnsi="Arial" w:cs="Arial"/>
          <w:lang w:val="en-GB"/>
        </w:rPr>
        <w:t xml:space="preserve"> gearbox dissipates the power flow directly to the spur gears of the tool carriers</w:t>
      </w:r>
    </w:p>
    <w:p w14:paraId="2BCF8C34" w14:textId="20DC33B0" w:rsidR="00340B61" w:rsidRDefault="00340B61" w:rsidP="00340B61">
      <w:pPr>
        <w:spacing w:after="120" w:line="360" w:lineRule="auto"/>
        <w:ind w:left="567" w:right="1695"/>
        <w:rPr>
          <w:rFonts w:ascii="Arial" w:eastAsia="Arial" w:hAnsi="Arial" w:cs="Arial"/>
        </w:rPr>
      </w:pPr>
    </w:p>
    <w:p w14:paraId="3AB7AF2B" w14:textId="2B0D238B" w:rsidR="00340B61" w:rsidRDefault="00340B61" w:rsidP="00340B61">
      <w:pPr>
        <w:spacing w:after="120" w:line="360" w:lineRule="auto"/>
        <w:ind w:left="567" w:right="1695"/>
        <w:rPr>
          <w:rFonts w:ascii="Arial" w:eastAsia="Arial" w:hAnsi="Arial" w:cs="Arial"/>
        </w:rPr>
      </w:pPr>
    </w:p>
    <w:p w14:paraId="32195141" w14:textId="77777777" w:rsidR="00777125" w:rsidRDefault="00777125" w:rsidP="00340B61">
      <w:pPr>
        <w:spacing w:after="120" w:line="360" w:lineRule="auto"/>
        <w:ind w:left="567" w:right="1695"/>
        <w:rPr>
          <w:rFonts w:ascii="Arial" w:eastAsia="Arial" w:hAnsi="Arial" w:cs="Arial"/>
        </w:rPr>
      </w:pPr>
    </w:p>
    <w:p w14:paraId="2688EE41" w14:textId="77777777" w:rsidR="009424B9" w:rsidRPr="009424B9" w:rsidRDefault="009424B9" w:rsidP="009424B9">
      <w:pPr>
        <w:spacing w:after="120" w:line="360" w:lineRule="auto"/>
        <w:ind w:left="567" w:right="1695"/>
        <w:rPr>
          <w:rFonts w:ascii="Arial" w:eastAsia="Arial" w:hAnsi="Arial" w:cs="Arial"/>
          <w:lang w:val="en-GB"/>
        </w:rPr>
      </w:pPr>
      <w:r w:rsidRPr="009424B9">
        <w:rPr>
          <w:rFonts w:ascii="Arial" w:eastAsia="Arial" w:hAnsi="Arial" w:cs="Arial"/>
          <w:lang w:val="en-GB"/>
        </w:rPr>
        <w:lastRenderedPageBreak/>
        <w:t>Video of the KE 3002-240 in work:</w:t>
      </w:r>
    </w:p>
    <w:p w14:paraId="0DA30E74" w14:textId="272AF72A"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www.amazone.net/yt-ke02</w:t>
      </w:r>
    </w:p>
    <w:p w14:paraId="16439FD1" w14:textId="34342D05" w:rsidR="00340B61" w:rsidRPr="00340B61"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0AFE2B2" wp14:editId="28E20012">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4803D4B" w14:textId="0749F6E9" w:rsidR="00070765" w:rsidRDefault="00070765" w:rsidP="00070765">
      <w:pPr>
        <w:spacing w:after="120" w:line="360" w:lineRule="auto"/>
        <w:ind w:left="567" w:right="1695"/>
        <w:rPr>
          <w:rFonts w:ascii="Arial" w:eastAsia="Arial" w:hAnsi="Arial" w:cs="Arial"/>
        </w:rPr>
      </w:pPr>
    </w:p>
    <w:p w14:paraId="3B91EFC2" w14:textId="01297DB2" w:rsidR="00340B61" w:rsidRDefault="00340B61" w:rsidP="00070765">
      <w:pPr>
        <w:spacing w:after="120" w:line="360" w:lineRule="auto"/>
        <w:ind w:left="567" w:right="1695"/>
        <w:rPr>
          <w:rFonts w:ascii="Arial" w:eastAsia="Arial" w:hAnsi="Arial" w:cs="Arial"/>
        </w:rPr>
      </w:pPr>
    </w:p>
    <w:p w14:paraId="2FC7D042" w14:textId="2FC56B5C" w:rsidR="00777125" w:rsidRDefault="0077712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3B48692" wp14:editId="2D53B2C9">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2A41D099" w14:textId="1A9B6B4A" w:rsidR="009424B9" w:rsidRPr="009424B9" w:rsidRDefault="009424B9" w:rsidP="009424B9">
      <w:pPr>
        <w:pStyle w:val="Listenabsatz"/>
        <w:numPr>
          <w:ilvl w:val="0"/>
          <w:numId w:val="9"/>
        </w:numPr>
        <w:spacing w:after="120" w:line="360" w:lineRule="auto"/>
        <w:ind w:right="1695"/>
        <w:rPr>
          <w:rFonts w:ascii="Arial" w:eastAsia="Arial" w:hAnsi="Arial" w:cs="Arial"/>
          <w:lang w:val="en-GB"/>
        </w:rPr>
      </w:pPr>
      <w:r w:rsidRPr="009424B9">
        <w:rPr>
          <w:rFonts w:ascii="Arial" w:eastAsia="Arial" w:hAnsi="Arial" w:cs="Arial"/>
          <w:lang w:val="en-GB"/>
        </w:rPr>
        <w:t>Compact spur gear trough in sturdy design with reduced diameter spur gears, slim design, robust 45 mm shaft diameter, 6 mm trough wall thickness and a double-skinned trough bottom</w:t>
      </w:r>
    </w:p>
    <w:p w14:paraId="39EC4DC2" w14:textId="576FA7B6" w:rsidR="009424B9" w:rsidRPr="009424B9" w:rsidRDefault="009424B9" w:rsidP="009424B9">
      <w:pPr>
        <w:pStyle w:val="Listenabsatz"/>
        <w:numPr>
          <w:ilvl w:val="0"/>
          <w:numId w:val="9"/>
        </w:numPr>
        <w:spacing w:after="120" w:line="360" w:lineRule="auto"/>
        <w:ind w:right="1695"/>
        <w:rPr>
          <w:rFonts w:ascii="Arial" w:eastAsia="Arial" w:hAnsi="Arial" w:cs="Arial"/>
          <w:lang w:val="en-GB"/>
        </w:rPr>
      </w:pPr>
      <w:r w:rsidRPr="009424B9">
        <w:rPr>
          <w:rFonts w:ascii="Arial" w:eastAsia="Arial" w:hAnsi="Arial" w:cs="Arial"/>
          <w:lang w:val="en-GB"/>
        </w:rPr>
        <w:t>Tine carriers forged from a single piece</w:t>
      </w:r>
    </w:p>
    <w:p w14:paraId="396FCC97" w14:textId="7181C2F0" w:rsidR="009424B9" w:rsidRPr="009424B9" w:rsidRDefault="009424B9" w:rsidP="009424B9">
      <w:pPr>
        <w:pStyle w:val="Listenabsatz"/>
        <w:numPr>
          <w:ilvl w:val="0"/>
          <w:numId w:val="9"/>
        </w:numPr>
        <w:spacing w:after="120" w:line="360" w:lineRule="auto"/>
        <w:ind w:right="1695"/>
        <w:rPr>
          <w:rFonts w:ascii="Arial" w:eastAsia="Arial" w:hAnsi="Arial" w:cs="Arial"/>
          <w:lang w:val="en-GB"/>
        </w:rPr>
      </w:pPr>
      <w:proofErr w:type="spellStart"/>
      <w:r w:rsidRPr="009424B9">
        <w:rPr>
          <w:rFonts w:ascii="Arial" w:eastAsia="Arial" w:hAnsi="Arial" w:cs="Arial"/>
          <w:lang w:val="en-GB"/>
        </w:rPr>
        <w:t>Quick+Safe</w:t>
      </w:r>
      <w:proofErr w:type="spellEnd"/>
      <w:r w:rsidRPr="009424B9">
        <w:rPr>
          <w:rFonts w:ascii="Arial" w:eastAsia="Arial" w:hAnsi="Arial" w:cs="Arial"/>
          <w:lang w:val="en-GB"/>
        </w:rPr>
        <w:t xml:space="preserve"> system: Quick change tine </w:t>
      </w:r>
      <w:proofErr w:type="spellStart"/>
      <w:r w:rsidRPr="009424B9">
        <w:rPr>
          <w:rFonts w:ascii="Arial" w:eastAsia="Arial" w:hAnsi="Arial" w:cs="Arial"/>
          <w:lang w:val="en-GB"/>
        </w:rPr>
        <w:t>systemwith</w:t>
      </w:r>
      <w:proofErr w:type="spellEnd"/>
      <w:r w:rsidRPr="009424B9">
        <w:rPr>
          <w:rFonts w:ascii="Arial" w:eastAsia="Arial" w:hAnsi="Arial" w:cs="Arial"/>
          <w:lang w:val="en-GB"/>
        </w:rPr>
        <w:t xml:space="preserve"> integrated stone release</w:t>
      </w:r>
    </w:p>
    <w:p w14:paraId="11621423" w14:textId="1A205884" w:rsidR="00340B61" w:rsidRPr="009424B9" w:rsidRDefault="009424B9" w:rsidP="009424B9">
      <w:pPr>
        <w:pStyle w:val="Listenabsatz"/>
        <w:numPr>
          <w:ilvl w:val="0"/>
          <w:numId w:val="9"/>
        </w:numPr>
        <w:spacing w:after="120" w:line="360" w:lineRule="auto"/>
        <w:ind w:right="1695"/>
        <w:rPr>
          <w:rFonts w:ascii="Arial" w:eastAsia="Arial" w:hAnsi="Arial" w:cs="Arial"/>
        </w:rPr>
      </w:pPr>
      <w:r w:rsidRPr="009424B9">
        <w:rPr>
          <w:rFonts w:ascii="Arial" w:eastAsia="Arial" w:hAnsi="Arial" w:cs="Arial"/>
          <w:lang w:val="en-GB"/>
        </w:rPr>
        <w:t>290 mm long KE trailing tines</w:t>
      </w:r>
    </w:p>
    <w:p w14:paraId="5A3A3B7B" w14:textId="0708BBDF" w:rsidR="00340B61" w:rsidRDefault="00340B61" w:rsidP="00777125">
      <w:pPr>
        <w:spacing w:after="120" w:line="360" w:lineRule="auto"/>
        <w:ind w:left="708" w:right="1695"/>
        <w:rPr>
          <w:rFonts w:ascii="Arial" w:eastAsia="Arial" w:hAnsi="Arial" w:cs="Arial"/>
        </w:rPr>
      </w:pPr>
    </w:p>
    <w:p w14:paraId="058A73D6" w14:textId="77777777" w:rsidR="00777125" w:rsidRDefault="00777125" w:rsidP="00777125">
      <w:pPr>
        <w:spacing w:after="120" w:line="360" w:lineRule="auto"/>
        <w:ind w:left="708" w:right="1695"/>
        <w:rPr>
          <w:rFonts w:ascii="Arial" w:eastAsia="Arial" w:hAnsi="Arial" w:cs="Arial"/>
        </w:rPr>
      </w:pPr>
    </w:p>
    <w:p w14:paraId="7D884E22" w14:textId="2A54D609"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55618F72" wp14:editId="511B95F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A3DEAE" w14:textId="76BA6D9E"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690C34C4" wp14:editId="3DC5FECE">
            <wp:extent cx="312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3F338C1C" w14:textId="77777777" w:rsidR="009424B9" w:rsidRPr="009424B9" w:rsidRDefault="009424B9" w:rsidP="009424B9">
      <w:pPr>
        <w:spacing w:after="120" w:line="360" w:lineRule="auto"/>
        <w:ind w:left="708" w:right="1695"/>
        <w:rPr>
          <w:rFonts w:ascii="Arial" w:eastAsia="Arial" w:hAnsi="Arial" w:cs="Arial"/>
          <w:lang w:val="en-GB"/>
        </w:rPr>
      </w:pPr>
      <w:r w:rsidRPr="009424B9">
        <w:rPr>
          <w:rFonts w:ascii="Arial" w:eastAsia="Arial" w:hAnsi="Arial" w:cs="Arial"/>
          <w:lang w:val="en-GB"/>
        </w:rPr>
        <w:t xml:space="preserve">The new KE 3002-240 with the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system has twelve tool carriers and is characterised by its very compact, short design</w:t>
      </w:r>
    </w:p>
    <w:p w14:paraId="751C19D9" w14:textId="74E68A9C" w:rsidR="00340B61" w:rsidRDefault="00340B61" w:rsidP="00340B61">
      <w:pPr>
        <w:spacing w:after="120" w:line="360" w:lineRule="auto"/>
        <w:ind w:right="1695"/>
        <w:rPr>
          <w:rFonts w:ascii="Arial" w:eastAsia="Arial" w:hAnsi="Arial" w:cs="Arial"/>
        </w:rPr>
      </w:pPr>
    </w:p>
    <w:p w14:paraId="4B606A39" w14:textId="6FCD0D35" w:rsidR="00340B61" w:rsidRDefault="00340B61" w:rsidP="00340B61">
      <w:pPr>
        <w:spacing w:after="120" w:line="360" w:lineRule="auto"/>
        <w:ind w:right="1695"/>
        <w:rPr>
          <w:rFonts w:ascii="Arial" w:eastAsia="Arial" w:hAnsi="Arial" w:cs="Arial"/>
        </w:rPr>
      </w:pPr>
    </w:p>
    <w:p w14:paraId="4CAB1F94" w14:textId="01EC63CA" w:rsidR="00340B61" w:rsidRDefault="00777125" w:rsidP="009424B9">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73EBE8E2" wp14:editId="5A40EA4B">
            <wp:extent cx="3477600" cy="2880000"/>
            <wp:effectExtent l="0" t="0" r="254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6B18D4D" w14:textId="77777777" w:rsidR="009424B9" w:rsidRPr="009424B9" w:rsidRDefault="009424B9" w:rsidP="009424B9">
      <w:pPr>
        <w:spacing w:after="120" w:line="360" w:lineRule="auto"/>
        <w:ind w:right="1695" w:firstLine="708"/>
        <w:rPr>
          <w:rFonts w:ascii="Arial" w:eastAsia="Arial" w:hAnsi="Arial" w:cs="Arial"/>
          <w:lang w:val="en-GB"/>
        </w:rPr>
      </w:pPr>
      <w:r w:rsidRPr="009424B9">
        <w:rPr>
          <w:rFonts w:ascii="Arial" w:eastAsia="Arial" w:hAnsi="Arial" w:cs="Arial"/>
          <w:lang w:val="en-GB"/>
        </w:rPr>
        <w:t xml:space="preserve">KE 6002-2-400 with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system for use after inversion soil tillage</w:t>
      </w:r>
    </w:p>
    <w:p w14:paraId="11E25877" w14:textId="2AC619A9" w:rsidR="00340B61" w:rsidRDefault="00340B61" w:rsidP="00340B61">
      <w:pPr>
        <w:spacing w:after="120" w:line="360" w:lineRule="auto"/>
        <w:ind w:right="1695"/>
        <w:rPr>
          <w:rFonts w:ascii="Arial" w:eastAsia="Arial" w:hAnsi="Arial" w:cs="Arial"/>
        </w:rPr>
      </w:pPr>
    </w:p>
    <w:p w14:paraId="0CD33F3D" w14:textId="1F2DCEA5" w:rsidR="00340B61" w:rsidRDefault="00340B61" w:rsidP="00340B61">
      <w:pPr>
        <w:spacing w:after="120" w:line="360" w:lineRule="auto"/>
        <w:ind w:right="1695"/>
        <w:rPr>
          <w:rFonts w:ascii="Arial" w:eastAsia="Arial" w:hAnsi="Arial" w:cs="Arial"/>
        </w:rPr>
      </w:pPr>
    </w:p>
    <w:p w14:paraId="3B5D4E5B" w14:textId="756A532F" w:rsidR="00340B61"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0B062A56" wp14:editId="77B10EC0">
            <wp:extent cx="4190400" cy="2880000"/>
            <wp:effectExtent l="0" t="0" r="63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0400" cy="2880000"/>
                    </a:xfrm>
                    <a:prstGeom prst="rect">
                      <a:avLst/>
                    </a:prstGeom>
                  </pic:spPr>
                </pic:pic>
              </a:graphicData>
            </a:graphic>
          </wp:inline>
        </w:drawing>
      </w:r>
    </w:p>
    <w:p w14:paraId="502A9F20" w14:textId="3F8344BF" w:rsidR="009424B9" w:rsidRPr="009424B9" w:rsidRDefault="009424B9" w:rsidP="009424B9">
      <w:pPr>
        <w:spacing w:after="120" w:line="360" w:lineRule="auto"/>
        <w:ind w:left="708" w:right="1695"/>
        <w:rPr>
          <w:rFonts w:ascii="Arial" w:eastAsia="Arial" w:hAnsi="Arial" w:cs="Arial"/>
          <w:lang w:val="en-GB"/>
        </w:rPr>
      </w:pPr>
      <w:r w:rsidRPr="009424B9">
        <w:rPr>
          <w:rFonts w:ascii="Arial" w:eastAsia="Arial" w:hAnsi="Arial" w:cs="Arial"/>
          <w:lang w:val="en-GB"/>
        </w:rPr>
        <w:t xml:space="preserve">As an example, the new KE 3002-240 </w:t>
      </w:r>
      <w:proofErr w:type="spellStart"/>
      <w:r w:rsidRPr="009424B9">
        <w:rPr>
          <w:rFonts w:ascii="Arial" w:eastAsia="Arial" w:hAnsi="Arial" w:cs="Arial"/>
          <w:lang w:val="en-GB"/>
        </w:rPr>
        <w:t>Rotamix</w:t>
      </w:r>
      <w:proofErr w:type="spellEnd"/>
      <w:r w:rsidRPr="009424B9">
        <w:rPr>
          <w:rFonts w:ascii="Arial" w:eastAsia="Arial" w:hAnsi="Arial" w:cs="Arial"/>
          <w:lang w:val="en-GB"/>
        </w:rPr>
        <w:t xml:space="preserve"> can be connected to the new </w:t>
      </w:r>
      <w:proofErr w:type="spellStart"/>
      <w:r w:rsidRPr="009424B9">
        <w:rPr>
          <w:rFonts w:ascii="Arial" w:eastAsia="Arial" w:hAnsi="Arial" w:cs="Arial"/>
          <w:lang w:val="en-GB"/>
        </w:rPr>
        <w:t>Precea</w:t>
      </w:r>
      <w:proofErr w:type="spellEnd"/>
      <w:r w:rsidRPr="009424B9">
        <w:rPr>
          <w:rFonts w:ascii="Arial" w:eastAsia="Arial" w:hAnsi="Arial" w:cs="Arial"/>
          <w:lang w:val="en-GB"/>
        </w:rPr>
        <w:t xml:space="preserve"> 3000-A harrow-mounted precision air </w:t>
      </w:r>
      <w:proofErr w:type="spellStart"/>
      <w:r w:rsidRPr="009424B9">
        <w:rPr>
          <w:rFonts w:ascii="Arial" w:eastAsia="Arial" w:hAnsi="Arial" w:cs="Arial"/>
          <w:lang w:val="en-GB"/>
        </w:rPr>
        <w:t>seeder</w:t>
      </w:r>
      <w:proofErr w:type="spellEnd"/>
      <w:r w:rsidRPr="009424B9">
        <w:rPr>
          <w:rFonts w:ascii="Arial" w:eastAsia="Arial" w:hAnsi="Arial" w:cs="Arial"/>
          <w:lang w:val="en-GB"/>
        </w:rPr>
        <w:t xml:space="preserve"> via the </w:t>
      </w:r>
      <w:proofErr w:type="spellStart"/>
      <w:r w:rsidRPr="009424B9">
        <w:rPr>
          <w:rFonts w:ascii="Arial" w:eastAsia="Arial" w:hAnsi="Arial" w:cs="Arial"/>
          <w:lang w:val="en-GB"/>
        </w:rPr>
        <w:t>QuickLink</w:t>
      </w:r>
      <w:proofErr w:type="spellEnd"/>
      <w:r w:rsidRPr="009424B9">
        <w:rPr>
          <w:rFonts w:ascii="Arial" w:eastAsia="Arial" w:hAnsi="Arial" w:cs="Arial"/>
          <w:lang w:val="en-GB"/>
        </w:rPr>
        <w:t xml:space="preserve"> system with very little effort</w:t>
      </w:r>
    </w:p>
    <w:p w14:paraId="103339EE" w14:textId="0E277641" w:rsidR="00340B61" w:rsidRPr="00340B61" w:rsidRDefault="00340B61" w:rsidP="009424B9">
      <w:pPr>
        <w:spacing w:after="120" w:line="360" w:lineRule="auto"/>
        <w:ind w:left="708" w:right="1695"/>
        <w:rPr>
          <w:rFonts w:ascii="Arial" w:eastAsia="Arial" w:hAnsi="Arial" w:cs="Arial"/>
        </w:rPr>
      </w:pPr>
    </w:p>
    <w:p w14:paraId="54DCBCD4" w14:textId="5E19AE7F" w:rsidR="00353431" w:rsidRDefault="009D1BA3" w:rsidP="00777125">
      <w:pPr>
        <w:ind w:firstLine="567"/>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lastRenderedPageBreak/>
        <w:softHyphen/>
      </w:r>
      <w:r>
        <w:rPr>
          <w:rFonts w:ascii="Arial" w:hAnsi="Arial" w:cs="Arial"/>
          <w:b/>
          <w:bCs/>
          <w:color w:val="808080" w:themeColor="background1" w:themeShade="80"/>
          <w:sz w:val="20"/>
          <w:szCs w:val="20"/>
        </w:rPr>
        <w:softHyphen/>
      </w:r>
      <w:r>
        <w:rPr>
          <w:rFonts w:ascii="Arial" w:hAnsi="Arial" w:cs="Arial"/>
          <w:b/>
          <w:bCs/>
          <w:noProof/>
          <w:color w:val="808080" w:themeColor="background1" w:themeShade="80"/>
          <w:sz w:val="20"/>
          <w:szCs w:val="20"/>
        </w:rPr>
        <w:drawing>
          <wp:inline distT="0" distB="0" distL="0" distR="0" wp14:anchorId="051BBDC2" wp14:editId="4F4FFFC6">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CB041FB" w14:textId="60E00376" w:rsidR="00777125" w:rsidRDefault="00777125" w:rsidP="00777125">
      <w:pPr>
        <w:ind w:firstLine="567"/>
        <w:rPr>
          <w:rFonts w:ascii="Arial" w:hAnsi="Arial" w:cs="Arial"/>
          <w:b/>
          <w:bCs/>
          <w:color w:val="808080" w:themeColor="background1" w:themeShade="80"/>
          <w:sz w:val="20"/>
          <w:szCs w:val="20"/>
        </w:rPr>
      </w:pPr>
    </w:p>
    <w:p w14:paraId="0CF1B870" w14:textId="303D49C0" w:rsidR="00777125" w:rsidRDefault="00777125" w:rsidP="00777125">
      <w:pPr>
        <w:ind w:firstLine="567"/>
        <w:rPr>
          <w:rFonts w:ascii="Arial" w:hAnsi="Arial" w:cs="Arial"/>
          <w:b/>
          <w:bCs/>
          <w:color w:val="808080" w:themeColor="background1" w:themeShade="80"/>
          <w:sz w:val="20"/>
          <w:szCs w:val="20"/>
        </w:rPr>
      </w:pPr>
    </w:p>
    <w:p w14:paraId="3A4312E8" w14:textId="3A39250D" w:rsidR="00777125" w:rsidRDefault="00777125" w:rsidP="00777125">
      <w:pPr>
        <w:ind w:firstLine="567"/>
        <w:rPr>
          <w:rFonts w:ascii="Arial" w:hAnsi="Arial" w:cs="Arial"/>
          <w:b/>
          <w:bCs/>
          <w:color w:val="808080" w:themeColor="background1" w:themeShade="80"/>
          <w:sz w:val="20"/>
          <w:szCs w:val="20"/>
        </w:rPr>
      </w:pPr>
    </w:p>
    <w:p w14:paraId="3D4F243D" w14:textId="202DFAB3" w:rsidR="00777125" w:rsidRDefault="00777125" w:rsidP="00777125">
      <w:pPr>
        <w:ind w:firstLine="567"/>
        <w:rPr>
          <w:rFonts w:ascii="Arial" w:hAnsi="Arial" w:cs="Arial"/>
          <w:b/>
          <w:bCs/>
          <w:color w:val="808080" w:themeColor="background1" w:themeShade="80"/>
          <w:sz w:val="20"/>
          <w:szCs w:val="20"/>
        </w:rPr>
      </w:pPr>
    </w:p>
    <w:p w14:paraId="1EF763E5" w14:textId="13C00AE1" w:rsidR="00777125" w:rsidRDefault="00777125" w:rsidP="00777125">
      <w:pPr>
        <w:ind w:firstLine="567"/>
        <w:rPr>
          <w:rFonts w:ascii="Arial" w:hAnsi="Arial" w:cs="Arial"/>
          <w:b/>
          <w:bCs/>
          <w:color w:val="808080" w:themeColor="background1" w:themeShade="80"/>
          <w:sz w:val="20"/>
          <w:szCs w:val="20"/>
        </w:rPr>
      </w:pPr>
    </w:p>
    <w:p w14:paraId="496E268A" w14:textId="21C95CF1" w:rsidR="00777125" w:rsidRDefault="00777125" w:rsidP="00777125">
      <w:pPr>
        <w:ind w:firstLine="567"/>
        <w:rPr>
          <w:rFonts w:ascii="Arial" w:hAnsi="Arial" w:cs="Arial"/>
          <w:b/>
          <w:bCs/>
          <w:color w:val="808080" w:themeColor="background1" w:themeShade="80"/>
          <w:sz w:val="20"/>
          <w:szCs w:val="20"/>
        </w:rPr>
      </w:pPr>
    </w:p>
    <w:p w14:paraId="44FF571A" w14:textId="12BD5A36" w:rsidR="00777125" w:rsidRDefault="00777125" w:rsidP="00777125">
      <w:pPr>
        <w:ind w:firstLine="567"/>
        <w:rPr>
          <w:rFonts w:ascii="Arial" w:hAnsi="Arial" w:cs="Arial"/>
          <w:b/>
          <w:bCs/>
          <w:color w:val="808080" w:themeColor="background1" w:themeShade="80"/>
          <w:sz w:val="20"/>
          <w:szCs w:val="20"/>
        </w:rPr>
      </w:pPr>
    </w:p>
    <w:p w14:paraId="053A9453" w14:textId="3358EB4D" w:rsidR="00777125" w:rsidRDefault="00777125" w:rsidP="00777125">
      <w:pPr>
        <w:ind w:firstLine="567"/>
        <w:rPr>
          <w:rFonts w:ascii="Arial" w:hAnsi="Arial" w:cs="Arial"/>
          <w:b/>
          <w:bCs/>
          <w:color w:val="808080" w:themeColor="background1" w:themeShade="80"/>
          <w:sz w:val="20"/>
          <w:szCs w:val="20"/>
        </w:rPr>
      </w:pPr>
    </w:p>
    <w:p w14:paraId="7547B6D2" w14:textId="5B3D8BED" w:rsidR="00777125" w:rsidRDefault="00777125" w:rsidP="00777125">
      <w:pPr>
        <w:ind w:firstLine="567"/>
        <w:rPr>
          <w:rFonts w:ascii="Arial" w:hAnsi="Arial" w:cs="Arial"/>
          <w:b/>
          <w:bCs/>
          <w:color w:val="808080" w:themeColor="background1" w:themeShade="80"/>
          <w:sz w:val="20"/>
          <w:szCs w:val="20"/>
        </w:rPr>
      </w:pPr>
    </w:p>
    <w:p w14:paraId="632DE3D4" w14:textId="728A28F5" w:rsidR="00777125" w:rsidRDefault="00777125" w:rsidP="00777125">
      <w:pPr>
        <w:ind w:firstLine="567"/>
        <w:rPr>
          <w:rFonts w:ascii="Arial" w:hAnsi="Arial" w:cs="Arial"/>
          <w:b/>
          <w:bCs/>
          <w:color w:val="808080" w:themeColor="background1" w:themeShade="80"/>
          <w:sz w:val="20"/>
          <w:szCs w:val="20"/>
        </w:rPr>
      </w:pPr>
    </w:p>
    <w:p w14:paraId="39524341" w14:textId="23EADF05" w:rsidR="00777125" w:rsidRDefault="00777125" w:rsidP="00777125">
      <w:pPr>
        <w:ind w:firstLine="567"/>
        <w:rPr>
          <w:rFonts w:ascii="Arial" w:hAnsi="Arial" w:cs="Arial"/>
          <w:b/>
          <w:bCs/>
          <w:color w:val="808080" w:themeColor="background1" w:themeShade="80"/>
          <w:sz w:val="20"/>
          <w:szCs w:val="20"/>
        </w:rPr>
      </w:pPr>
    </w:p>
    <w:p w14:paraId="047A8475" w14:textId="6B383479" w:rsidR="00777125" w:rsidRDefault="00777125" w:rsidP="00777125">
      <w:pPr>
        <w:ind w:firstLine="567"/>
        <w:rPr>
          <w:rFonts w:ascii="Arial" w:hAnsi="Arial" w:cs="Arial"/>
          <w:b/>
          <w:bCs/>
          <w:color w:val="808080" w:themeColor="background1" w:themeShade="80"/>
          <w:sz w:val="20"/>
          <w:szCs w:val="20"/>
        </w:rPr>
      </w:pPr>
    </w:p>
    <w:p w14:paraId="6641FA18" w14:textId="0C24598B" w:rsidR="00777125" w:rsidRDefault="00777125" w:rsidP="00777125">
      <w:pPr>
        <w:ind w:firstLine="567"/>
        <w:rPr>
          <w:rFonts w:ascii="Arial" w:hAnsi="Arial" w:cs="Arial"/>
          <w:b/>
          <w:bCs/>
          <w:color w:val="808080" w:themeColor="background1" w:themeShade="80"/>
          <w:sz w:val="20"/>
          <w:szCs w:val="20"/>
        </w:rPr>
      </w:pPr>
    </w:p>
    <w:p w14:paraId="698BCF68" w14:textId="33A0C58A" w:rsidR="00777125" w:rsidRDefault="00777125" w:rsidP="00777125">
      <w:pPr>
        <w:ind w:firstLine="567"/>
        <w:rPr>
          <w:rFonts w:ascii="Arial" w:hAnsi="Arial" w:cs="Arial"/>
          <w:b/>
          <w:bCs/>
          <w:color w:val="808080" w:themeColor="background1" w:themeShade="80"/>
          <w:sz w:val="20"/>
          <w:szCs w:val="20"/>
        </w:rPr>
      </w:pPr>
    </w:p>
    <w:p w14:paraId="39C7032B" w14:textId="22D15FC4" w:rsidR="00777125" w:rsidRDefault="00777125" w:rsidP="00777125">
      <w:pPr>
        <w:ind w:firstLine="567"/>
        <w:rPr>
          <w:rFonts w:ascii="Arial" w:hAnsi="Arial" w:cs="Arial"/>
          <w:b/>
          <w:bCs/>
          <w:color w:val="808080" w:themeColor="background1" w:themeShade="80"/>
          <w:sz w:val="20"/>
          <w:szCs w:val="20"/>
        </w:rPr>
      </w:pPr>
    </w:p>
    <w:p w14:paraId="55539F32" w14:textId="040F1576" w:rsidR="00777125" w:rsidRDefault="00777125" w:rsidP="00777125">
      <w:pPr>
        <w:ind w:firstLine="567"/>
        <w:rPr>
          <w:rFonts w:ascii="Arial" w:hAnsi="Arial" w:cs="Arial"/>
          <w:b/>
          <w:bCs/>
          <w:color w:val="808080" w:themeColor="background1" w:themeShade="80"/>
          <w:sz w:val="20"/>
          <w:szCs w:val="20"/>
        </w:rPr>
      </w:pPr>
    </w:p>
    <w:p w14:paraId="51B7109B" w14:textId="7704E1BF" w:rsidR="00777125" w:rsidRDefault="00777125" w:rsidP="00777125">
      <w:pPr>
        <w:ind w:firstLine="567"/>
        <w:rPr>
          <w:rFonts w:ascii="Arial" w:hAnsi="Arial" w:cs="Arial"/>
          <w:b/>
          <w:bCs/>
          <w:color w:val="808080" w:themeColor="background1" w:themeShade="80"/>
          <w:sz w:val="20"/>
          <w:szCs w:val="20"/>
        </w:rPr>
      </w:pPr>
    </w:p>
    <w:p w14:paraId="11555B9E" w14:textId="12A8805D" w:rsidR="00777125" w:rsidRDefault="00777125" w:rsidP="00777125">
      <w:pPr>
        <w:ind w:firstLine="567"/>
        <w:rPr>
          <w:rFonts w:ascii="Arial" w:hAnsi="Arial" w:cs="Arial"/>
          <w:b/>
          <w:bCs/>
          <w:color w:val="808080" w:themeColor="background1" w:themeShade="80"/>
          <w:sz w:val="20"/>
          <w:szCs w:val="20"/>
        </w:rPr>
      </w:pPr>
    </w:p>
    <w:p w14:paraId="65511998" w14:textId="734FC3B1" w:rsidR="00777125" w:rsidRDefault="00777125" w:rsidP="00777125">
      <w:pPr>
        <w:ind w:firstLine="567"/>
        <w:rPr>
          <w:rFonts w:ascii="Arial" w:hAnsi="Arial" w:cs="Arial"/>
          <w:b/>
          <w:bCs/>
          <w:color w:val="808080" w:themeColor="background1" w:themeShade="80"/>
          <w:sz w:val="20"/>
          <w:szCs w:val="20"/>
        </w:rPr>
      </w:pPr>
    </w:p>
    <w:p w14:paraId="56135795" w14:textId="3F13D9C1" w:rsidR="00777125" w:rsidRDefault="00777125" w:rsidP="00777125">
      <w:pPr>
        <w:ind w:firstLine="567"/>
        <w:rPr>
          <w:rFonts w:ascii="Arial" w:hAnsi="Arial" w:cs="Arial"/>
          <w:b/>
          <w:bCs/>
          <w:color w:val="808080" w:themeColor="background1" w:themeShade="80"/>
          <w:sz w:val="20"/>
          <w:szCs w:val="20"/>
        </w:rPr>
      </w:pPr>
    </w:p>
    <w:p w14:paraId="779586CB" w14:textId="3E61171A" w:rsidR="00777125" w:rsidRDefault="00777125" w:rsidP="00777125">
      <w:pPr>
        <w:ind w:firstLine="567"/>
        <w:rPr>
          <w:rFonts w:ascii="Arial" w:hAnsi="Arial" w:cs="Arial"/>
          <w:b/>
          <w:bCs/>
          <w:color w:val="808080" w:themeColor="background1" w:themeShade="80"/>
          <w:sz w:val="20"/>
          <w:szCs w:val="20"/>
        </w:rPr>
      </w:pPr>
    </w:p>
    <w:p w14:paraId="2DC015F1" w14:textId="3D167BB1" w:rsidR="00777125" w:rsidRDefault="00777125" w:rsidP="00777125">
      <w:pPr>
        <w:ind w:firstLine="567"/>
        <w:rPr>
          <w:rFonts w:ascii="Arial" w:hAnsi="Arial" w:cs="Arial"/>
          <w:b/>
          <w:bCs/>
          <w:color w:val="808080" w:themeColor="background1" w:themeShade="80"/>
          <w:sz w:val="20"/>
          <w:szCs w:val="20"/>
        </w:rPr>
      </w:pPr>
    </w:p>
    <w:p w14:paraId="09EC57E6" w14:textId="77777777" w:rsidR="00777125" w:rsidRDefault="00777125" w:rsidP="00777125">
      <w:pPr>
        <w:ind w:firstLine="567"/>
        <w:rPr>
          <w:rFonts w:ascii="Arial" w:hAnsi="Arial" w:cs="Arial"/>
          <w:b/>
          <w:bCs/>
          <w:color w:val="808080" w:themeColor="background1" w:themeShade="80"/>
          <w:sz w:val="20"/>
          <w:szCs w:val="20"/>
        </w:rPr>
      </w:pPr>
    </w:p>
    <w:p w14:paraId="4EE51928" w14:textId="77777777" w:rsidR="009424B9" w:rsidRPr="009424B9" w:rsidRDefault="009424B9" w:rsidP="009424B9">
      <w:pPr>
        <w:tabs>
          <w:tab w:val="left" w:pos="3550"/>
        </w:tabs>
        <w:spacing w:line="360" w:lineRule="auto"/>
        <w:ind w:left="567" w:right="2262"/>
        <w:rPr>
          <w:rFonts w:ascii="Arial" w:hAnsi="Arial" w:cs="Arial"/>
          <w:b/>
          <w:bCs/>
          <w:color w:val="808080" w:themeColor="background1" w:themeShade="80"/>
          <w:sz w:val="20"/>
          <w:szCs w:val="20"/>
          <w:lang w:val="en-GB"/>
        </w:rPr>
      </w:pPr>
      <w:r w:rsidRPr="009424B9">
        <w:rPr>
          <w:rFonts w:ascii="Arial" w:hAnsi="Arial" w:cs="Arial"/>
          <w:b/>
          <w:bCs/>
          <w:color w:val="808080" w:themeColor="background1" w:themeShade="80"/>
          <w:sz w:val="20"/>
          <w:szCs w:val="20"/>
          <w:lang w:val="en-GB"/>
        </w:rPr>
        <w:t>About AMAZONE</w:t>
      </w:r>
    </w:p>
    <w:p w14:paraId="4602E0EF" w14:textId="77777777" w:rsidR="009424B9" w:rsidRPr="009424B9" w:rsidRDefault="009424B9" w:rsidP="009424B9">
      <w:pPr>
        <w:tabs>
          <w:tab w:val="left" w:pos="3550"/>
        </w:tabs>
        <w:spacing w:line="360" w:lineRule="auto"/>
        <w:ind w:left="567" w:right="2262"/>
        <w:rPr>
          <w:rFonts w:ascii="Arial" w:hAnsi="Arial" w:cs="Arial"/>
          <w:color w:val="808080" w:themeColor="background1" w:themeShade="80"/>
          <w:sz w:val="20"/>
          <w:szCs w:val="20"/>
          <w:lang w:val="en-GB"/>
        </w:rPr>
      </w:pPr>
      <w:r w:rsidRPr="009424B9">
        <w:rPr>
          <w:rFonts w:ascii="Arial" w:hAnsi="Arial" w:cs="Arial"/>
          <w:color w:val="808080" w:themeColor="background1" w:themeShade="80"/>
          <w:sz w:val="20"/>
          <w:szCs w:val="20"/>
          <w:lang w:val="en-GB"/>
        </w:rPr>
        <w:t xml:space="preserve">AMAZONEN-WERKE H. Dreyer SE &amp; Co. KG is based in </w:t>
      </w:r>
      <w:proofErr w:type="spellStart"/>
      <w:r w:rsidRPr="009424B9">
        <w:rPr>
          <w:rFonts w:ascii="Arial" w:hAnsi="Arial" w:cs="Arial"/>
          <w:color w:val="808080" w:themeColor="background1" w:themeShade="80"/>
          <w:sz w:val="20"/>
          <w:szCs w:val="20"/>
          <w:lang w:val="en-GB"/>
        </w:rPr>
        <w:t>Hasbergen</w:t>
      </w:r>
      <w:proofErr w:type="spellEnd"/>
      <w:r w:rsidRPr="009424B9">
        <w:rPr>
          <w:rFonts w:ascii="Arial" w:hAnsi="Arial" w:cs="Arial"/>
          <w:color w:val="808080" w:themeColor="background1" w:themeShade="80"/>
          <w:sz w:val="20"/>
          <w:szCs w:val="20"/>
          <w:lang w:val="en-GB"/>
        </w:rPr>
        <w:t xml:space="preserve">-Gaste in Germany and manufactures agricultural and </w:t>
      </w:r>
      <w:proofErr w:type="spellStart"/>
      <w:r w:rsidRPr="009424B9">
        <w:rPr>
          <w:rFonts w:ascii="Arial" w:hAnsi="Arial" w:cs="Arial"/>
          <w:color w:val="808080" w:themeColor="background1" w:themeShade="80"/>
          <w:sz w:val="20"/>
          <w:szCs w:val="20"/>
          <w:lang w:val="en-GB"/>
        </w:rPr>
        <w:t>groundcare</w:t>
      </w:r>
      <w:proofErr w:type="spellEnd"/>
      <w:r w:rsidRPr="009424B9">
        <w:rPr>
          <w:rFonts w:ascii="Arial" w:hAnsi="Arial" w:cs="Arial"/>
          <w:color w:val="808080" w:themeColor="background1" w:themeShade="80"/>
          <w:sz w:val="20"/>
          <w:szCs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9424B9">
        <w:rPr>
          <w:rFonts w:ascii="Arial" w:hAnsi="Arial" w:cs="Arial"/>
          <w:color w:val="808080" w:themeColor="background1" w:themeShade="80"/>
          <w:sz w:val="20"/>
          <w:szCs w:val="20"/>
          <w:lang w:val="en-GB"/>
        </w:rPr>
        <w:t>Hacktechnik</w:t>
      </w:r>
      <w:proofErr w:type="spellEnd"/>
      <w:r w:rsidRPr="009424B9">
        <w:rPr>
          <w:rFonts w:ascii="Arial" w:hAnsi="Arial" w:cs="Arial"/>
          <w:color w:val="808080" w:themeColor="background1" w:themeShade="80"/>
          <w:sz w:val="20"/>
          <w:szCs w:val="20"/>
          <w:lang w:val="en-GB"/>
        </w:rPr>
        <w:t xml:space="preserve"> has been part of the AMAZONE Group since 2019. Based on these core competencies, AMAZONE is now the specialist for intelligent crop production in agriculture. Further information: </w:t>
      </w:r>
      <w:hyperlink r:id="rId17" w:history="1">
        <w:r w:rsidRPr="009424B9">
          <w:rPr>
            <w:rStyle w:val="Hyperlink"/>
            <w:rFonts w:ascii="Arial" w:hAnsi="Arial" w:cs="Arial"/>
            <w:sz w:val="20"/>
            <w:szCs w:val="20"/>
            <w:lang w:val="en-GB"/>
          </w:rPr>
          <w:t>www.amazone.net</w:t>
        </w:r>
      </w:hyperlink>
    </w:p>
    <w:p w14:paraId="252D2E94" w14:textId="1A91D91B" w:rsidR="00A46482" w:rsidRPr="009424B9" w:rsidRDefault="009424B9" w:rsidP="009424B9">
      <w:pPr>
        <w:tabs>
          <w:tab w:val="left" w:pos="3550"/>
        </w:tabs>
        <w:spacing w:line="360" w:lineRule="auto"/>
        <w:ind w:left="567" w:right="2262"/>
        <w:rPr>
          <w:rFonts w:ascii="Arial" w:hAnsi="Arial" w:cs="Arial"/>
          <w:b/>
          <w:bCs/>
          <w:color w:val="808080" w:themeColor="background1" w:themeShade="80"/>
          <w:sz w:val="20"/>
          <w:szCs w:val="20"/>
          <w:lang w:val="en-GB"/>
        </w:rPr>
      </w:pPr>
      <w:r w:rsidRPr="009424B9">
        <w:rPr>
          <w:rFonts w:ascii="Arial" w:hAnsi="Arial" w:cs="Arial"/>
          <w:b/>
          <w:bCs/>
          <w:noProof/>
          <w:color w:val="808080" w:themeColor="background1" w:themeShade="80"/>
          <w:sz w:val="20"/>
          <w:szCs w:val="20"/>
        </w:rPr>
        <w:drawing>
          <wp:inline distT="0" distB="0" distL="0" distR="0" wp14:anchorId="6A98659C" wp14:editId="737F14DE">
            <wp:extent cx="241300" cy="241300"/>
            <wp:effectExtent l="0" t="0" r="6350" b="6350"/>
            <wp:docPr id="13" name="Grafik 13"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424B9">
        <w:rPr>
          <w:rFonts w:ascii="Arial" w:hAnsi="Arial" w:cs="Arial"/>
          <w:b/>
          <w:bCs/>
          <w:color w:val="808080" w:themeColor="background1" w:themeShade="80"/>
          <w:sz w:val="20"/>
          <w:szCs w:val="20"/>
          <w:lang w:val="en-GB"/>
        </w:rPr>
        <w:t> </w:t>
      </w:r>
      <w:r w:rsidRPr="009424B9">
        <w:rPr>
          <w:rFonts w:ascii="Arial" w:hAnsi="Arial" w:cs="Arial"/>
          <w:b/>
          <w:bCs/>
          <w:noProof/>
          <w:color w:val="808080" w:themeColor="background1" w:themeShade="80"/>
          <w:sz w:val="20"/>
          <w:szCs w:val="20"/>
        </w:rPr>
        <w:drawing>
          <wp:inline distT="0" distB="0" distL="0" distR="0" wp14:anchorId="6D508ADF" wp14:editId="45EC8186">
            <wp:extent cx="241300" cy="241300"/>
            <wp:effectExtent l="0" t="0" r="6350" b="6350"/>
            <wp:docPr id="12" name="Grafik 12"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424B9">
        <w:rPr>
          <w:rFonts w:ascii="Arial" w:hAnsi="Arial" w:cs="Arial"/>
          <w:b/>
          <w:bCs/>
          <w:color w:val="808080" w:themeColor="background1" w:themeShade="80"/>
          <w:sz w:val="20"/>
          <w:szCs w:val="20"/>
          <w:lang w:val="en-GB"/>
        </w:rPr>
        <w:t> </w:t>
      </w:r>
      <w:r w:rsidRPr="009424B9">
        <w:rPr>
          <w:rFonts w:ascii="Arial" w:hAnsi="Arial" w:cs="Arial"/>
          <w:b/>
          <w:bCs/>
          <w:noProof/>
          <w:color w:val="808080" w:themeColor="background1" w:themeShade="80"/>
          <w:sz w:val="20"/>
          <w:szCs w:val="20"/>
        </w:rPr>
        <w:drawing>
          <wp:inline distT="0" distB="0" distL="0" distR="0" wp14:anchorId="1D31DCE8" wp14:editId="1CF460FD">
            <wp:extent cx="241300" cy="241300"/>
            <wp:effectExtent l="0" t="0" r="6350" b="6350"/>
            <wp:docPr id="11" name="Grafik 11"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424B9">
        <w:rPr>
          <w:rFonts w:ascii="Arial" w:hAnsi="Arial" w:cs="Arial"/>
          <w:b/>
          <w:bCs/>
          <w:color w:val="808080" w:themeColor="background1" w:themeShade="80"/>
          <w:sz w:val="20"/>
          <w:szCs w:val="20"/>
          <w:lang w:val="en-GB"/>
        </w:rPr>
        <w:t> </w:t>
      </w:r>
      <w:r w:rsidRPr="009424B9">
        <w:rPr>
          <w:rFonts w:ascii="Arial" w:hAnsi="Arial" w:cs="Arial"/>
          <w:b/>
          <w:bCs/>
          <w:noProof/>
          <w:color w:val="808080" w:themeColor="background1" w:themeShade="80"/>
          <w:sz w:val="20"/>
          <w:szCs w:val="20"/>
        </w:rPr>
        <w:drawing>
          <wp:inline distT="0" distB="0" distL="0" distR="0" wp14:anchorId="66397FEE" wp14:editId="46EDCC3D">
            <wp:extent cx="241300" cy="241300"/>
            <wp:effectExtent l="0" t="0" r="6350" b="6350"/>
            <wp:docPr id="10" name="Grafik 10"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424B9">
        <w:rPr>
          <w:rFonts w:ascii="Arial" w:hAnsi="Arial" w:cs="Arial"/>
          <w:b/>
          <w:bCs/>
          <w:color w:val="808080" w:themeColor="background1" w:themeShade="80"/>
          <w:sz w:val="20"/>
          <w:szCs w:val="20"/>
          <w:lang w:val="en-GB"/>
        </w:rPr>
        <w:t> </w:t>
      </w:r>
      <w:r w:rsidRPr="009424B9">
        <w:rPr>
          <w:rFonts w:ascii="Arial" w:hAnsi="Arial" w:cs="Arial"/>
          <w:b/>
          <w:bCs/>
          <w:noProof/>
          <w:color w:val="808080" w:themeColor="background1" w:themeShade="80"/>
          <w:sz w:val="20"/>
          <w:szCs w:val="20"/>
        </w:rPr>
        <w:drawing>
          <wp:inline distT="0" distB="0" distL="0" distR="0" wp14:anchorId="2BC126E3" wp14:editId="2BFDAD6E">
            <wp:extent cx="241300" cy="241300"/>
            <wp:effectExtent l="0" t="0" r="6350" b="6350"/>
            <wp:docPr id="7" name="Grafik 7"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424B9">
        <w:rPr>
          <w:rFonts w:ascii="Arial" w:hAnsi="Arial" w:cs="Arial"/>
          <w:b/>
          <w:bCs/>
          <w:color w:val="808080" w:themeColor="background1" w:themeShade="80"/>
          <w:sz w:val="20"/>
          <w:szCs w:val="20"/>
          <w:lang w:val="en-GB"/>
        </w:rPr>
        <w:t> </w:t>
      </w:r>
    </w:p>
    <w:sectPr w:rsidR="00A46482" w:rsidRPr="009424B9"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80181F" w14:textId="77777777" w:rsidR="00125969" w:rsidRDefault="00125969">
      <w:r>
        <w:separator/>
      </w:r>
    </w:p>
  </w:endnote>
  <w:endnote w:type="continuationSeparator" w:id="0">
    <w:p w14:paraId="02273075" w14:textId="77777777" w:rsidR="00125969" w:rsidRDefault="00125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B5F23D" w14:textId="77777777" w:rsidR="009424B9" w:rsidRPr="0093254A" w:rsidRDefault="009424B9" w:rsidP="009424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6F7D">
                            <w:rPr>
                              <w:rFonts w:ascii="Arial" w:hAnsi="Arial"/>
                              <w:noProof/>
                              <w:sz w:val="20"/>
                            </w:rPr>
                            <w:t>8</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6F7D">
                            <w:rPr>
                              <w:rFonts w:ascii="Arial" w:hAnsi="Arial"/>
                              <w:noProof/>
                              <w:sz w:val="20"/>
                            </w:rPr>
                            <w:t>8</w:t>
                          </w:r>
                          <w:r w:rsidRPr="0093254A">
                            <w:rPr>
                              <w:rFonts w:ascii="Arial" w:hAnsi="Arial"/>
                              <w:sz w:val="20"/>
                            </w:rPr>
                            <w:fldChar w:fldCharType="end"/>
                          </w:r>
                        </w:p>
                        <w:p w14:paraId="0F7BE6E8" w14:textId="0F82DF1C"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AB5F23D" w14:textId="77777777" w:rsidR="009424B9" w:rsidRPr="0093254A" w:rsidRDefault="009424B9" w:rsidP="009424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6F7D">
                      <w:rPr>
                        <w:rFonts w:ascii="Arial" w:hAnsi="Arial"/>
                        <w:noProof/>
                        <w:sz w:val="20"/>
                      </w:rPr>
                      <w:t>8</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6F7D">
                      <w:rPr>
                        <w:rFonts w:ascii="Arial" w:hAnsi="Arial"/>
                        <w:noProof/>
                        <w:sz w:val="20"/>
                      </w:rPr>
                      <w:t>8</w:t>
                    </w:r>
                    <w:r w:rsidRPr="0093254A">
                      <w:rPr>
                        <w:rFonts w:ascii="Arial" w:hAnsi="Arial"/>
                        <w:sz w:val="20"/>
                      </w:rPr>
                      <w:fldChar w:fldCharType="end"/>
                    </w:r>
                  </w:p>
                  <w:p w14:paraId="0F7BE6E8" w14:textId="0F82DF1C"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CB0E51" w14:textId="77777777" w:rsidR="009424B9" w:rsidRPr="0093254A" w:rsidRDefault="009424B9" w:rsidP="009424B9">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45F1130A" w14:textId="77777777" w:rsidR="009424B9" w:rsidRPr="0093254A" w:rsidRDefault="009424B9" w:rsidP="009424B9">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23ED4DB6"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61CB0E51" w14:textId="77777777" w:rsidR="009424B9" w:rsidRPr="0093254A" w:rsidRDefault="009424B9" w:rsidP="009424B9">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45F1130A" w14:textId="77777777" w:rsidR="009424B9" w:rsidRPr="0093254A" w:rsidRDefault="009424B9" w:rsidP="009424B9">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23ED4DB6"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4A4D13" w14:textId="77777777" w:rsidR="00125969" w:rsidRDefault="00125969">
      <w:r>
        <w:separator/>
      </w:r>
    </w:p>
  </w:footnote>
  <w:footnote w:type="continuationSeparator" w:id="0">
    <w:p w14:paraId="65AF32BF" w14:textId="77777777" w:rsidR="00125969" w:rsidRDefault="00125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9650A92"/>
    <w:multiLevelType w:val="hybridMultilevel"/>
    <w:tmpl w:val="4314DDE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8817C79"/>
    <w:multiLevelType w:val="hybridMultilevel"/>
    <w:tmpl w:val="25EAD65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5EF5751"/>
    <w:multiLevelType w:val="hybridMultilevel"/>
    <w:tmpl w:val="FC3C5748"/>
    <w:lvl w:ilvl="0" w:tplc="0407000F">
      <w:start w:val="1"/>
      <w:numFmt w:val="decimal"/>
      <w:lvlText w:val="%1."/>
      <w:lvlJc w:val="left"/>
      <w:pPr>
        <w:ind w:left="1428" w:hanging="360"/>
      </w:p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num w:numId="1">
    <w:abstractNumId w:val="7"/>
  </w:num>
  <w:num w:numId="2">
    <w:abstractNumId w:val="0"/>
  </w:num>
  <w:num w:numId="3">
    <w:abstractNumId w:val="3"/>
  </w:num>
  <w:num w:numId="4">
    <w:abstractNumId w:val="5"/>
  </w:num>
  <w:num w:numId="5">
    <w:abstractNumId w:val="2"/>
  </w:num>
  <w:num w:numId="6">
    <w:abstractNumId w:val="1"/>
  </w:num>
  <w:num w:numId="7">
    <w:abstractNumId w:val="4"/>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4C1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969"/>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0B61"/>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12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24B9"/>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1BA3"/>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5D4B"/>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59C"/>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6F7D"/>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24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FFCF6-0AA2-45C8-85B6-844CF98C4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1087</Words>
  <Characters>5573</Characters>
  <Application>Microsoft Office Word</Application>
  <DocSecurity>0</DocSecurity>
  <Lines>46</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6647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2021-10-08T12:33:00Z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