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2C24D8" w14:textId="5E619C34" w:rsidR="008A5EF3" w:rsidRDefault="006162B4" w:rsidP="00BA12F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Złoty Medal Targów Polagra Premiery 2023</w:t>
      </w:r>
      <w:r w:rsidR="006D004B">
        <w:rPr>
          <w:rFonts w:ascii="Arial" w:hAnsi="Arial"/>
          <w:b/>
          <w:sz w:val="28"/>
        </w:rPr>
        <w:t xml:space="preserve"> dla AMAZONE:</w:t>
      </w:r>
      <w:r w:rsidR="006D004B">
        <w:rPr>
          <w:rFonts w:ascii="Arial" w:hAnsi="Arial"/>
          <w:b/>
          <w:sz w:val="28"/>
        </w:rPr>
        <w:br/>
        <w:t>Zasilanie bezpośrednie DirectInject</w:t>
      </w:r>
    </w:p>
    <w:p w14:paraId="604A2DB9" w14:textId="77777777" w:rsidR="00BA12F1" w:rsidRDefault="00BA12F1" w:rsidP="00BA12F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F86BCF" w14:textId="772E06F3" w:rsidR="006162B4" w:rsidRDefault="006162B4" w:rsidP="008A5EF3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 xml:space="preserve">Sąd konkursowy pod przewodnictwem prof. dr hab. Grzegorza Skrzypczaka  przyznał 14 nagród w kategorii „ Maszyny , urządzenia i usługi dla rolnictwa” </w:t>
      </w:r>
      <w:r w:rsidR="00BA12F1">
        <w:rPr>
          <w:rFonts w:ascii="Arial" w:hAnsi="Arial"/>
        </w:rPr>
        <w:t>. Firma AMAZONE zos</w:t>
      </w:r>
      <w:r w:rsidR="00D20399">
        <w:rPr>
          <w:rFonts w:ascii="Arial" w:hAnsi="Arial"/>
        </w:rPr>
        <w:t>tała także</w:t>
      </w:r>
      <w:r>
        <w:rPr>
          <w:rFonts w:ascii="Arial" w:hAnsi="Arial"/>
        </w:rPr>
        <w:t xml:space="preserve"> wyróżniona</w:t>
      </w:r>
      <w:r w:rsidR="00603D73">
        <w:rPr>
          <w:rFonts w:ascii="Arial" w:hAnsi="Arial"/>
        </w:rPr>
        <w:t xml:space="preserve"> w tej kategorii</w:t>
      </w:r>
      <w:r>
        <w:rPr>
          <w:rFonts w:ascii="Arial" w:hAnsi="Arial"/>
        </w:rPr>
        <w:t xml:space="preserve"> Złotym Medalem grupy MPT</w:t>
      </w:r>
      <w:r w:rsidR="00BA12F1">
        <w:rPr>
          <w:rFonts w:ascii="Arial" w:hAnsi="Arial"/>
        </w:rPr>
        <w:t xml:space="preserve"> za nowy system bezpośredniego zasilania DirectInject. </w:t>
      </w:r>
      <w:r w:rsidR="00CB098F">
        <w:rPr>
          <w:rFonts w:ascii="Arial" w:hAnsi="Arial"/>
        </w:rPr>
        <w:t xml:space="preserve"> </w:t>
      </w:r>
    </w:p>
    <w:p w14:paraId="4AD77A7C" w14:textId="7EA7B3EC" w:rsidR="00CB098F" w:rsidRDefault="00CB098F" w:rsidP="008A5EF3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>Rozwiązanie to zostało również wyróżnione w kategorii EcoPrize</w:t>
      </w:r>
      <w:r w:rsidR="00491ED5">
        <w:rPr>
          <w:rFonts w:ascii="Arial" w:hAnsi="Arial"/>
        </w:rPr>
        <w:t xml:space="preserve"> </w:t>
      </w:r>
      <w:r w:rsidR="00734D1D">
        <w:rPr>
          <w:rFonts w:ascii="Arial" w:hAnsi="Arial"/>
        </w:rPr>
        <w:t xml:space="preserve">za pozytywny wpływ na środowisko oraz możliwość </w:t>
      </w:r>
      <w:r w:rsidR="00E810AE">
        <w:rPr>
          <w:rFonts w:ascii="Arial" w:hAnsi="Arial"/>
        </w:rPr>
        <w:t>wypełniania</w:t>
      </w:r>
      <w:r w:rsidR="00734D1D">
        <w:rPr>
          <w:rFonts w:ascii="Arial" w:hAnsi="Arial"/>
        </w:rPr>
        <w:t xml:space="preserve"> coraz bardziej rygorystycznych ograniczeń w stosowaniu środków ochrony roślin</w:t>
      </w:r>
      <w:r w:rsidR="00E810AE">
        <w:rPr>
          <w:rFonts w:ascii="Arial" w:hAnsi="Arial"/>
        </w:rPr>
        <w:t>.</w:t>
      </w:r>
    </w:p>
    <w:p w14:paraId="3A658729" w14:textId="4A4CD4D1" w:rsidR="003F2974" w:rsidRDefault="00BA12F1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DirectInject umożliwia szybkie, elastyczne i zależne od zapotrzebowania dodawanie środków ochrony roślin podczas oprysku.</w:t>
      </w:r>
    </w:p>
    <w:p w14:paraId="1107B98F" w14:textId="77777777" w:rsidR="00863D84" w:rsidRDefault="00863D84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4638DF" w14:textId="0CB5A305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Wymagania w zakresie ochrony roślin stawiane rolnikom i sprzętowi stale rosną. Ważnym punktem jest tu elastyczność wyboru środków ochrony roślin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polu. Z punktu widzenia upraw często konieczne jest reagowanie specyficznymi produktami i środkami jedynie w konkretnych, wydzielonych obszarach. Istnieją też różne obowiązki związane z chronionymi strukturami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wodami powierzchniowymi, które rolnik musi uwzględniać wybierając środki ochrony roślin</w:t>
      </w:r>
      <w:r w:rsidR="006162B4">
        <w:rPr>
          <w:rFonts w:ascii="Arial" w:hAnsi="Arial"/>
        </w:rPr>
        <w:t xml:space="preserve">. </w:t>
      </w:r>
    </w:p>
    <w:p w14:paraId="36D96809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3E953A" w14:textId="33008ACB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Budowa systemu</w:t>
      </w:r>
    </w:p>
    <w:p w14:paraId="17EFB2BB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poprzez System DirectInject po raz pierwszy wprowadza na rynek system bezpośredniego dozowania środków ochrony roślin rozwiązujący opisany konflikt interesów. Środki ochrony roślin można dozować lub nie podczas aplikacji, w zależności od zapotrzebowania. Szczegółową cechą DirectInject w porównaniu z konwencjonalnymi systemami jest szybki czas reakcji w procesie zasilania i kompletna integracja z obiegiem cieczy roboczej oraz systemem obsługi opryskiwacza polowego. </w:t>
      </w:r>
    </w:p>
    <w:p w14:paraId="61A86F8C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Dzięki DirectInject można reagować indywidualnie w określonych miejscach na potrzeby uprawianej rośliny, jak również oszczędzić na środkach ochrony roślin i dodatkowych przejazdach opryskiwaczem polowym. Pozwala to zaoszczędzić czas, koszty i troszczyć się o środowisko.</w:t>
      </w:r>
    </w:p>
    <w:p w14:paraId="15CC2FDE" w14:textId="388419F4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DirectInject składa się z dodatkowego zbiornika mieszczącego 50 l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odpowiednią techniką dozowania, umieszczonego z prawej strony maszyny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schowku opryskiwacza UX 01 Super. Dzięki temu zbiornik jest bardzo łatwo dostępny i bezpieczny do napełnienia. Dzięki integracji komponentów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 xml:space="preserve">schowku wszystkie podzespoły są ponadto optymalnie zabezpieczone. </w:t>
      </w:r>
    </w:p>
    <w:p w14:paraId="58D929A3" w14:textId="1773A6EC" w:rsidR="008A5EF3" w:rsidRPr="008A5EF3" w:rsidRDefault="008A5EF3" w:rsidP="00CB098F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Wielką zaletą tej technologii jest to, że DirectInject może pracować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nierozcieńczonym środkiem ochrony roślin. Mieszadło mechaniczne gwarantuje, że środki ochrony roślin mające tendencję do rozwarstwiania się są utrzymywane w stanie jednorodnym.</w:t>
      </w:r>
    </w:p>
    <w:p w14:paraId="1E1F2C95" w14:textId="5860AB84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Rolnicy korzystający z DirectInject chwalą go za to, że teraz mogą dużo elastyczniej reagować stosując ochronę roślin na wydzielonych polach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obszarach. Tam, gdzie wcześniej niemożliwa była zróżnicowana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natychmiastowa aplikacja, można zareagować podczas jednego przejazdu roboczego. Rezultat to optymalny stan upraw oraz oszczędność czasu i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środków ochrony roślin.</w:t>
      </w:r>
    </w:p>
    <w:p w14:paraId="4C3FE444" w14:textId="3371D86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System bezpośredniego zasilania DirectInject może być stosowany w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jednoosiowych opryskiwaczach UX 01 z seryjną komunikacją ISOBUS oraz systemem indywidualnego przełączania rozpylaczy AmaSwitch lub AmaSelect z</w:t>
      </w:r>
      <w:r w:rsidR="00090904">
        <w:rPr>
          <w:rFonts w:ascii="Arial" w:hAnsi="Arial"/>
        </w:rPr>
        <w:t> </w:t>
      </w:r>
      <w:r>
        <w:rPr>
          <w:rFonts w:ascii="Arial" w:hAnsi="Arial"/>
        </w:rPr>
        <w:t>wysokociśnieniowym systemem cyrkulacji DUS pro.</w:t>
      </w:r>
    </w:p>
    <w:p w14:paraId="0679C9A4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B7067D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Zalety systemu:</w:t>
      </w:r>
    </w:p>
    <w:p w14:paraId="5CA235DA" w14:textId="77777777" w:rsidR="008A5EF3" w:rsidRPr="008A5EF3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Elastyczne, szybkie i odpowiadające zapotrzebowaniu stosowanie środka ochrony roślin</w:t>
      </w:r>
    </w:p>
    <w:p w14:paraId="1A05FCFF" w14:textId="77777777" w:rsidR="00611A1C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Oszczędność: </w:t>
      </w:r>
    </w:p>
    <w:p w14:paraId="4E2AB3DC" w14:textId="44C37901" w:rsidR="008A5EF3" w:rsidRPr="008A5EF3" w:rsidRDefault="008A5EF3" w:rsidP="00611A1C">
      <w:pPr>
        <w:pStyle w:val="Listenabsatz"/>
        <w:spacing w:after="120" w:line="360" w:lineRule="auto"/>
        <w:ind w:left="128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– czasu i kosztów pracy</w:t>
      </w:r>
      <w:r>
        <w:rPr>
          <w:rFonts w:ascii="Arial" w:hAnsi="Arial"/>
        </w:rPr>
        <w:br/>
        <w:t>– kosztów maszyn</w:t>
      </w:r>
      <w:r>
        <w:rPr>
          <w:rFonts w:ascii="Arial" w:hAnsi="Arial"/>
        </w:rPr>
        <w:br/>
        <w:t>– środków ochrony roślin</w:t>
      </w:r>
    </w:p>
    <w:p w14:paraId="1C8DA836" w14:textId="77777777" w:rsidR="008A5EF3" w:rsidRPr="008A5EF3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Optymalny stan upraw</w:t>
      </w:r>
    </w:p>
    <w:p w14:paraId="5980F6B1" w14:textId="7E4503AC" w:rsidR="003F2974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Ochrona środowiska</w:t>
      </w:r>
    </w:p>
    <w:p w14:paraId="36C863FE" w14:textId="6FD817DD" w:rsidR="00563773" w:rsidRDefault="003F2974" w:rsidP="003F2974">
      <w:pPr>
        <w:ind w:left="567"/>
        <w:rPr>
          <w:rFonts w:ascii="Arial" w:eastAsia="Arial" w:hAnsi="Arial" w:cs="Arial"/>
        </w:rPr>
      </w:pPr>
      <w:r>
        <w:br w:type="page"/>
      </w: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0A1E9E2E" wp14:editId="72A588DA">
            <wp:extent cx="3475620" cy="2879999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620" cy="28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B8396" w14:textId="038F980A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Wyposażenie DirectInject ze zbiornikiem 50 l i pompą w schowku UX 01 Super</w:t>
      </w:r>
    </w:p>
    <w:p w14:paraId="15948414" w14:textId="0387F754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27F569" w14:textId="7777777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CE7B96" w14:textId="21FE70D9" w:rsidR="00611A1C" w:rsidRDefault="00611A1C" w:rsidP="00611A1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8C2510A" wp14:editId="4B0B1741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5C4B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Aktywacja DirectInject w terminalu AmaTron 4</w:t>
      </w:r>
    </w:p>
    <w:p w14:paraId="4C5D6FFC" w14:textId="40B0CF2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A07063E" w14:textId="5A876FE2" w:rsidR="00563773" w:rsidRDefault="0056377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DC1881" w14:textId="7D6C7905" w:rsidR="00FA1518" w:rsidRDefault="00FA151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780EFB6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791CC5" w14:textId="49516A96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de-DE"/>
        </w:rPr>
        <w:drawing>
          <wp:inline distT="0" distB="0" distL="0" distR="0" wp14:anchorId="5372DF19" wp14:editId="4216A408">
            <wp:extent cx="6047756" cy="2880000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5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4FBD2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E9D41D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828578" w14:textId="4526073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EEFA597" wp14:editId="304B94F5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85839" w14:textId="0EF42C3E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Zbiornik DirectInject ze zintegrowanym sitem dla łatwego i bezpiecznego napełniania</w:t>
      </w:r>
    </w:p>
    <w:p w14:paraId="4D8D29F7" w14:textId="3A07EB5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DD44A5" w14:textId="587B47FB" w:rsidR="00FA1518" w:rsidRDefault="00FA151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10B6459C" w14:textId="62646315" w:rsidR="008A5EF3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039FD70" wp14:editId="2EBB9066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EB9A3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Mieszadło mechaniczne i dysza do mycia zbiornika DirectInject</w:t>
      </w:r>
    </w:p>
    <w:p w14:paraId="7F357D53" w14:textId="24ECDCC3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DDDF23" w14:textId="6C9F6854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723F19" w14:textId="64F8F56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DEB5233" wp14:editId="2FEBE031">
            <wp:extent cx="40536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70E67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Dokładne wprowadzanie dodawanej ilości</w:t>
      </w:r>
    </w:p>
    <w:p w14:paraId="4E2DD585" w14:textId="0F8940D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8A0BB2" w14:textId="0DEF61F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EF4D6" w14:textId="71FA528D" w:rsidR="00FA1518" w:rsidRDefault="00FA151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017206DE" w14:textId="77777777" w:rsidR="00FA1518" w:rsidRDefault="00FA1518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A53CAB" w14:textId="15FD8086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9384E9A" wp14:editId="31045BBB">
            <wp:extent cx="6120000" cy="2109600"/>
            <wp:effectExtent l="0" t="0" r="190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67C8" w14:textId="07047911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Belka polowa jest wyposażona w dwa oddzielne przewody, żółty i zielony, które są przełączane zdalnie</w:t>
      </w:r>
    </w:p>
    <w:p w14:paraId="362E1F02" w14:textId="64A9835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FB2D6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C57CC2" w14:textId="307BDA2A" w:rsidR="008A5EF3" w:rsidRDefault="00E810AE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Dodatkowym , miłym akcentem podczas przyznawania wyróżnień było wręczenie dyplomu dla naszej Firmy z okazji okrągłej , 140 rocznicy jej powstania. </w:t>
      </w:r>
    </w:p>
    <w:p w14:paraId="037F58DB" w14:textId="47806D4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EDEF1A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D3E443" w14:textId="48E8C6DD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bookmarkStart w:id="0" w:name="_GoBack"/>
      <w:bookmarkEnd w:id="0"/>
    </w:p>
    <w:p w14:paraId="2521F509" w14:textId="77777777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5FFF29" w14:textId="77777777" w:rsidR="000B601B" w:rsidRPr="00E12CE4" w:rsidRDefault="000B601B" w:rsidP="000B601B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67CCBFB4" w14:textId="59A5B5A0" w:rsidR="000B601B" w:rsidRPr="00E12CE4" w:rsidRDefault="000B601B" w:rsidP="000B601B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około 1900 osób w dziewięciu różnych zakładach produkcyjnych w</w:t>
      </w:r>
      <w:r w:rsidR="00090904">
        <w:rPr>
          <w:rFonts w:ascii="Arial" w:hAnsi="Arial"/>
          <w:color w:val="808080" w:themeColor="background1" w:themeShade="80"/>
          <w:sz w:val="20"/>
        </w:rPr>
        <w:t> </w:t>
      </w:r>
      <w:r>
        <w:rPr>
          <w:rFonts w:ascii="Arial" w:hAnsi="Arial"/>
          <w:color w:val="808080" w:themeColor="background1" w:themeShade="80"/>
          <w:sz w:val="20"/>
        </w:rPr>
        <w:t xml:space="preserve">Niemczech, Francji, Rosji i na Węgrzech.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hyperlink r:id="rId15" w:history="1">
        <w:r w:rsidR="00FA1518" w:rsidRPr="00E623F2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22C23190" w:rsidR="00A46482" w:rsidRDefault="000B601B" w:rsidP="00611A1C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E33A99F" wp14:editId="6EFEFF44">
            <wp:extent cx="241300" cy="241300"/>
            <wp:effectExtent l="0" t="0" r="6350" b="6350"/>
            <wp:docPr id="13" name="Grafik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93D0FC" wp14:editId="0CC52200">
            <wp:extent cx="241300" cy="241300"/>
            <wp:effectExtent l="0" t="0" r="6350" b="6350"/>
            <wp:docPr id="12" name="Grafik 12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1B6144C" wp14:editId="41356739">
            <wp:extent cx="241300" cy="241300"/>
            <wp:effectExtent l="0" t="0" r="6350" b="6350"/>
            <wp:docPr id="11" name="Grafik 11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8C5D7B7" wp14:editId="18F16871">
            <wp:extent cx="241300" cy="241300"/>
            <wp:effectExtent l="0" t="0" r="6350" b="6350"/>
            <wp:docPr id="10" name="Grafik 1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0406C2E" wp14:editId="4282CBDF">
            <wp:extent cx="241300" cy="241300"/>
            <wp:effectExtent l="0" t="0" r="6350" b="6350"/>
            <wp:docPr id="7" name="Grafik 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FA1518">
      <w:headerReference w:type="default" r:id="rId31"/>
      <w:footerReference w:type="default" r:id="rId32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340AC2" w14:textId="77777777" w:rsidR="00E169AD" w:rsidRDefault="00E169AD">
      <w:r>
        <w:separator/>
      </w:r>
    </w:p>
  </w:endnote>
  <w:endnote w:type="continuationSeparator" w:id="0">
    <w:p w14:paraId="484E7771" w14:textId="77777777" w:rsidR="00E169AD" w:rsidRDefault="00E169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3D3057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3D3057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3D3057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3D3057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090904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de-DE"/>
                            </w:rPr>
                          </w:pPr>
                          <w:r w:rsidRPr="00090904">
                            <w:rPr>
                              <w:rFonts w:ascii="Arial" w:hAnsi="Arial"/>
                              <w:sz w:val="20"/>
                              <w:lang w:val="de-DE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56403011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FA1518">
                            <w:rPr>
                              <w:rFonts w:ascii="Arial" w:hAnsi="Arial"/>
                              <w:sz w:val="20"/>
                            </w:rPr>
                            <w:t>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090904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de-DE"/>
                      </w:rPr>
                    </w:pPr>
                    <w:r w:rsidRPr="00090904">
                      <w:rPr>
                        <w:rFonts w:ascii="Arial" w:hAnsi="Arial"/>
                        <w:sz w:val="20"/>
                        <w:lang w:val="de-DE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56403011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Arial" w:hAnsi="Arial"/>
                        <w:sz w:val="20"/>
                      </w:rPr>
                      <w:t>∙ amazone@amazone.de ∙ www.amazone.</w:t>
                    </w:r>
                    <w:r w:rsidR="00FA1518">
                      <w:rPr>
                        <w:rFonts w:ascii="Arial" w:hAnsi="Arial"/>
                        <w:sz w:val="20"/>
                      </w:rPr>
                      <w:t>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AB6CCF" w14:textId="77777777" w:rsidR="00E169AD" w:rsidRDefault="00E169AD">
      <w:r>
        <w:separator/>
      </w:r>
    </w:p>
  </w:footnote>
  <w:footnote w:type="continuationSeparator" w:id="0">
    <w:p w14:paraId="2F857C9D" w14:textId="77777777" w:rsidR="00E169AD" w:rsidRDefault="00E169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1478DE05" w:rsidR="00E81D17" w:rsidRPr="002804E4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1478DE05" w:rsidR="00E81D17" w:rsidRPr="002804E4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F8471E"/>
    <w:multiLevelType w:val="hybridMultilevel"/>
    <w:tmpl w:val="25E29B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2B36"/>
    <w:rsid w:val="00073DE2"/>
    <w:rsid w:val="00074193"/>
    <w:rsid w:val="0007594F"/>
    <w:rsid w:val="00080817"/>
    <w:rsid w:val="00084480"/>
    <w:rsid w:val="00085DC9"/>
    <w:rsid w:val="00090904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01B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A29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B3B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05A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3057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2974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1ED5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3773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3D73"/>
    <w:rsid w:val="00604D9C"/>
    <w:rsid w:val="00604DA3"/>
    <w:rsid w:val="00606DE4"/>
    <w:rsid w:val="006113A9"/>
    <w:rsid w:val="00611A1C"/>
    <w:rsid w:val="006123F0"/>
    <w:rsid w:val="00612E9F"/>
    <w:rsid w:val="00615634"/>
    <w:rsid w:val="006162B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48E2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11D4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004B"/>
    <w:rsid w:val="006D0134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D1D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368E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3089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121"/>
    <w:rsid w:val="00855B27"/>
    <w:rsid w:val="008561B4"/>
    <w:rsid w:val="008579CE"/>
    <w:rsid w:val="0086119A"/>
    <w:rsid w:val="00861E30"/>
    <w:rsid w:val="00863D84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012F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5EF3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F60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8B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198C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12F1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098F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399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670EE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69AD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0AE"/>
    <w:rsid w:val="00E81D17"/>
    <w:rsid w:val="00E828CD"/>
    <w:rsid w:val="00E82B25"/>
    <w:rsid w:val="00E82E4E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1BF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518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2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amazone.pl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72066B-E0B5-4CD5-96CD-E3658F53B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591</Words>
  <Characters>4049</Characters>
  <Application>Microsoft Office Word</Application>
  <DocSecurity>0</DocSecurity>
  <Lines>33</Lines>
  <Paragraphs>9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>PI Amazone – sprawozdanie roczne 2008</vt:lpstr>
      <vt:lpstr>PI Amazone Jahresbericht 2008</vt:lpstr>
      <vt:lpstr>PI Amazone Jahresbericht 2008</vt:lpstr>
    </vt:vector>
  </TitlesOfParts>
  <LinksUpToDate>false</LinksUpToDate>
  <CharactersWithSpaces>4631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2021-12-08T15:16:00Z</dcterms:created>
  <dcterms:modified xsi:type="dcterms:W3CDTF">2023-01-20T10:18:00Z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1255802149</vt:i4>
  </property>
  <property fmtid="{D5CDD505-2E9C-101B-9397-08002B2CF9AE}" pid="4" name="_PreviousAdHocReviewCycleID">
    <vt:i4>-795595368</vt:i4>
  </property>
  <property fmtid="{D5CDD505-2E9C-101B-9397-08002B2CF9AE}" pid="5" name="_ReviewingToolsShownOnce">
    <vt:lpwstr/>
  </property>
</Properties>
</file>