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AEEBAB" w14:textId="184CB280" w:rsidR="004422DF" w:rsidRPr="00F75EA5" w:rsidRDefault="004422DF" w:rsidP="004422DF">
      <w:pPr>
        <w:spacing w:after="120" w:line="360" w:lineRule="auto"/>
        <w:ind w:left="567" w:right="1695"/>
        <w:rPr>
          <w:rFonts w:ascii="Arial" w:hAnsi="Arial" w:cs="Arial"/>
          <w:b/>
          <w:bCs/>
          <w:color w:val="FF0000"/>
          <w:sz w:val="28"/>
          <w:szCs w:val="28"/>
          <w:lang w:val="en-GB"/>
        </w:rPr>
      </w:pPr>
      <w:r w:rsidRPr="00F75EA5">
        <w:rPr>
          <w:noProof/>
          <w:lang w:val="en-GB" w:eastAsia="en-GB"/>
        </w:rPr>
        <w:drawing>
          <wp:anchor distT="0" distB="0" distL="114300" distR="114300" simplePos="0" relativeHeight="251659264" behindDoc="1" locked="0" layoutInCell="1" allowOverlap="1" wp14:anchorId="66D515B7" wp14:editId="0027C837">
            <wp:simplePos x="0" y="0"/>
            <wp:positionH relativeFrom="column">
              <wp:posOffset>4344035</wp:posOffset>
            </wp:positionH>
            <wp:positionV relativeFrom="paragraph">
              <wp:posOffset>-393700</wp:posOffset>
            </wp:positionV>
            <wp:extent cx="1267460" cy="1267460"/>
            <wp:effectExtent l="0" t="0" r="8890" b="8890"/>
            <wp:wrapNone/>
            <wp:docPr id="6" name="Grafik 6" descr="Silber-Medail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lber-Medaille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7460" cy="1267460"/>
                    </a:xfrm>
                    <a:prstGeom prst="rect">
                      <a:avLst/>
                    </a:prstGeom>
                    <a:noFill/>
                  </pic:spPr>
                </pic:pic>
              </a:graphicData>
            </a:graphic>
            <wp14:sizeRelH relativeFrom="page">
              <wp14:pctWidth>0</wp14:pctWidth>
            </wp14:sizeRelH>
            <wp14:sizeRelV relativeFrom="page">
              <wp14:pctHeight>0</wp14:pctHeight>
            </wp14:sizeRelV>
          </wp:anchor>
        </w:drawing>
      </w:r>
      <w:r w:rsidRPr="00F75EA5">
        <w:rPr>
          <w:rFonts w:ascii="Arial" w:hAnsi="Arial" w:cs="Arial"/>
          <w:b/>
          <w:bCs/>
          <w:sz w:val="28"/>
          <w:szCs w:val="28"/>
          <w:lang w:val="en-GB"/>
        </w:rPr>
        <w:t>Agritechnica Sil</w:t>
      </w:r>
      <w:r w:rsidR="00F75EA5" w:rsidRPr="00F75EA5">
        <w:rPr>
          <w:rFonts w:ascii="Arial" w:hAnsi="Arial" w:cs="Arial"/>
          <w:b/>
          <w:bCs/>
          <w:sz w:val="28"/>
          <w:szCs w:val="28"/>
          <w:lang w:val="en-GB"/>
        </w:rPr>
        <w:t xml:space="preserve">ver medal for </w:t>
      </w:r>
      <w:r w:rsidRPr="00F75EA5">
        <w:rPr>
          <w:rFonts w:ascii="Arial" w:hAnsi="Arial" w:cs="Arial"/>
          <w:b/>
          <w:bCs/>
          <w:sz w:val="28"/>
          <w:szCs w:val="28"/>
          <w:lang w:val="en-GB"/>
        </w:rPr>
        <w:t>AMAZONE:</w:t>
      </w:r>
      <w:r w:rsidRPr="00F75EA5">
        <w:rPr>
          <w:rFonts w:ascii="Arial" w:hAnsi="Arial" w:cs="Arial"/>
          <w:b/>
          <w:bCs/>
          <w:sz w:val="28"/>
          <w:szCs w:val="28"/>
          <w:lang w:val="en-GB"/>
        </w:rPr>
        <w:br/>
      </w:r>
      <w:r w:rsidR="00F75EA5" w:rsidRPr="00F75EA5">
        <w:rPr>
          <w:rFonts w:ascii="Arial" w:hAnsi="Arial" w:cs="Arial"/>
          <w:b/>
          <w:bCs/>
          <w:sz w:val="28"/>
          <w:szCs w:val="28"/>
          <w:lang w:val="en-GB"/>
        </w:rPr>
        <w:t>DirectInject</w:t>
      </w:r>
      <w:r w:rsidR="00F75EA5" w:rsidRPr="00F75EA5">
        <w:rPr>
          <w:rFonts w:ascii="Arial" w:hAnsi="Arial" w:cs="Arial"/>
          <w:b/>
          <w:bCs/>
          <w:sz w:val="28"/>
          <w:szCs w:val="28"/>
          <w:lang w:val="en-GB"/>
        </w:rPr>
        <w:t xml:space="preserve"> d</w:t>
      </w:r>
      <w:r w:rsidRPr="00F75EA5">
        <w:rPr>
          <w:rFonts w:ascii="Arial" w:hAnsi="Arial" w:cs="Arial"/>
          <w:b/>
          <w:bCs/>
          <w:sz w:val="28"/>
          <w:szCs w:val="28"/>
          <w:lang w:val="en-GB"/>
        </w:rPr>
        <w:t>ire</w:t>
      </w:r>
      <w:r w:rsidR="00F75EA5" w:rsidRPr="00F75EA5">
        <w:rPr>
          <w:rFonts w:ascii="Arial" w:hAnsi="Arial" w:cs="Arial"/>
          <w:b/>
          <w:bCs/>
          <w:sz w:val="28"/>
          <w:szCs w:val="28"/>
          <w:lang w:val="en-GB"/>
        </w:rPr>
        <w:t>c</w:t>
      </w:r>
      <w:r w:rsidRPr="00F75EA5">
        <w:rPr>
          <w:rFonts w:ascii="Arial" w:hAnsi="Arial" w:cs="Arial"/>
          <w:b/>
          <w:bCs/>
          <w:sz w:val="28"/>
          <w:szCs w:val="28"/>
          <w:lang w:val="en-GB"/>
        </w:rPr>
        <w:t>t</w:t>
      </w:r>
      <w:r w:rsidR="00F75EA5" w:rsidRPr="00F75EA5">
        <w:rPr>
          <w:rFonts w:ascii="Arial" w:hAnsi="Arial" w:cs="Arial"/>
          <w:b/>
          <w:bCs/>
          <w:sz w:val="28"/>
          <w:szCs w:val="28"/>
          <w:lang w:val="en-GB"/>
        </w:rPr>
        <w:t xml:space="preserve"> feed system</w:t>
      </w:r>
      <w:r w:rsidRPr="00F75EA5">
        <w:rPr>
          <w:rFonts w:ascii="Arial" w:hAnsi="Arial" w:cs="Arial"/>
          <w:b/>
          <w:bCs/>
          <w:color w:val="FF0000"/>
          <w:sz w:val="28"/>
          <w:szCs w:val="28"/>
          <w:lang w:val="en-GB"/>
        </w:rPr>
        <w:t xml:space="preserve"> </w:t>
      </w:r>
    </w:p>
    <w:p w14:paraId="2C93BEF6" w14:textId="77777777" w:rsidR="004422DF" w:rsidRPr="00F75EA5" w:rsidRDefault="004422DF" w:rsidP="004422DF">
      <w:pPr>
        <w:spacing w:after="120" w:line="360" w:lineRule="auto"/>
        <w:ind w:left="567" w:right="1695"/>
        <w:rPr>
          <w:rFonts w:ascii="Arial" w:eastAsia="Arial" w:hAnsi="Arial" w:cs="Arial"/>
          <w:color w:val="FF0000"/>
          <w:lang w:val="en-GB"/>
        </w:rPr>
      </w:pPr>
    </w:p>
    <w:p w14:paraId="5F99E527" w14:textId="173B69A3" w:rsidR="00F75EA5" w:rsidRPr="00F75EA5" w:rsidRDefault="00F75EA5" w:rsidP="004422DF">
      <w:pPr>
        <w:spacing w:after="120" w:line="360" w:lineRule="auto"/>
        <w:ind w:left="567" w:right="1695"/>
        <w:rPr>
          <w:rFonts w:ascii="Arial" w:eastAsia="Arial" w:hAnsi="Arial" w:cs="Arial"/>
          <w:lang w:val="en-GB"/>
        </w:rPr>
      </w:pPr>
      <w:r w:rsidRPr="00F75EA5">
        <w:rPr>
          <w:rFonts w:ascii="Arial" w:eastAsia="Arial" w:hAnsi="Arial" w:cs="Arial"/>
          <w:lang w:val="en-GB"/>
        </w:rPr>
        <w:t xml:space="preserve">The DLG Innovation Commission (German Agricultural Society) has announced the winners of the </w:t>
      </w:r>
      <w:r w:rsidRPr="00F75EA5">
        <w:rPr>
          <w:rFonts w:ascii="Arial" w:eastAsia="Arial" w:hAnsi="Arial" w:cs="Arial"/>
          <w:lang w:val="en-GB"/>
        </w:rPr>
        <w:t>Agritechnica 2022</w:t>
      </w:r>
      <w:r w:rsidRPr="00F75EA5">
        <w:rPr>
          <w:rFonts w:ascii="Arial" w:eastAsia="Arial" w:hAnsi="Arial" w:cs="Arial"/>
          <w:lang w:val="en-GB"/>
        </w:rPr>
        <w:t xml:space="preserve"> Innovation Award</w:t>
      </w:r>
      <w:r w:rsidR="008D539E">
        <w:rPr>
          <w:rFonts w:ascii="Arial" w:eastAsia="Arial" w:hAnsi="Arial" w:cs="Arial"/>
          <w:lang w:val="en-GB"/>
        </w:rPr>
        <w:t>s</w:t>
      </w:r>
      <w:r w:rsidRPr="00F75EA5">
        <w:rPr>
          <w:rFonts w:ascii="Arial" w:eastAsia="Arial" w:hAnsi="Arial" w:cs="Arial"/>
          <w:lang w:val="en-GB"/>
        </w:rPr>
        <w:t xml:space="preserve">. AMAZONE was awarded a silver medal for </w:t>
      </w:r>
      <w:r>
        <w:rPr>
          <w:rFonts w:ascii="Arial" w:eastAsia="Arial" w:hAnsi="Arial" w:cs="Arial"/>
          <w:lang w:val="en-GB"/>
        </w:rPr>
        <w:t>its</w:t>
      </w:r>
      <w:r w:rsidRPr="00F75EA5">
        <w:rPr>
          <w:rFonts w:ascii="Arial" w:eastAsia="Arial" w:hAnsi="Arial" w:cs="Arial"/>
          <w:lang w:val="en-GB"/>
        </w:rPr>
        <w:t xml:space="preserve"> new DirectInject. DirectInject enables the fast, flexible and needs-based metered addition of a pesticide during application. </w:t>
      </w:r>
    </w:p>
    <w:p w14:paraId="7FD386C6" w14:textId="77777777" w:rsidR="00F75EA5" w:rsidRDefault="00F75EA5" w:rsidP="005F3F69">
      <w:pPr>
        <w:spacing w:after="120" w:line="360" w:lineRule="auto"/>
        <w:ind w:left="567" w:right="1695"/>
        <w:rPr>
          <w:rFonts w:ascii="Arial" w:eastAsia="Arial" w:hAnsi="Arial" w:cs="Arial"/>
          <w:lang w:val="en-GB"/>
        </w:rPr>
      </w:pPr>
    </w:p>
    <w:p w14:paraId="2D56E3DF" w14:textId="6F90480F" w:rsidR="00473E35" w:rsidRDefault="00473E35" w:rsidP="005F3F69">
      <w:pPr>
        <w:spacing w:after="120" w:line="360" w:lineRule="auto"/>
        <w:ind w:left="567" w:right="1695"/>
        <w:rPr>
          <w:rFonts w:ascii="Arial" w:eastAsia="Arial" w:hAnsi="Arial" w:cs="Arial"/>
          <w:lang w:val="en-GB"/>
        </w:rPr>
      </w:pPr>
      <w:r w:rsidRPr="00473E35">
        <w:rPr>
          <w:rFonts w:ascii="Arial" w:eastAsia="Arial" w:hAnsi="Arial" w:cs="Arial"/>
          <w:lang w:val="en-GB"/>
        </w:rPr>
        <w:t xml:space="preserve">The demands on farmers </w:t>
      </w:r>
      <w:r w:rsidR="00D9752F" w:rsidRPr="00473E35">
        <w:rPr>
          <w:rFonts w:ascii="Arial" w:eastAsia="Arial" w:hAnsi="Arial" w:cs="Arial"/>
          <w:lang w:val="en-GB"/>
        </w:rPr>
        <w:t>with regard to plant protection</w:t>
      </w:r>
      <w:r w:rsidR="00D9752F" w:rsidRPr="00473E35">
        <w:rPr>
          <w:rFonts w:ascii="Arial" w:eastAsia="Arial" w:hAnsi="Arial" w:cs="Arial"/>
          <w:lang w:val="en-GB"/>
        </w:rPr>
        <w:t xml:space="preserve"> </w:t>
      </w:r>
      <w:r w:rsidR="00D9752F">
        <w:rPr>
          <w:rFonts w:ascii="Arial" w:eastAsia="Arial" w:hAnsi="Arial" w:cs="Arial"/>
          <w:lang w:val="en-GB"/>
        </w:rPr>
        <w:t xml:space="preserve">go hand in hand with the </w:t>
      </w:r>
      <w:r w:rsidR="00D9752F" w:rsidRPr="00473E35">
        <w:rPr>
          <w:rFonts w:ascii="Arial" w:eastAsia="Arial" w:hAnsi="Arial" w:cs="Arial"/>
          <w:lang w:val="en-GB"/>
        </w:rPr>
        <w:t>constantly increasing</w:t>
      </w:r>
      <w:r w:rsidR="00D9752F" w:rsidRPr="00473E35">
        <w:rPr>
          <w:rFonts w:ascii="Arial" w:eastAsia="Arial" w:hAnsi="Arial" w:cs="Arial"/>
          <w:lang w:val="en-GB"/>
        </w:rPr>
        <w:t xml:space="preserve"> </w:t>
      </w:r>
      <w:r w:rsidRPr="00473E35">
        <w:rPr>
          <w:rFonts w:ascii="Arial" w:eastAsia="Arial" w:hAnsi="Arial" w:cs="Arial"/>
          <w:lang w:val="en-GB"/>
        </w:rPr>
        <w:t xml:space="preserve">technology. Flexibility in the selection of plant protection agents in the field becomes increasingly important. From a plant establishment perspective, the needs-based application of specific products and active ingredients only in </w:t>
      </w:r>
      <w:r w:rsidR="00D9752F">
        <w:rPr>
          <w:rFonts w:ascii="Arial" w:eastAsia="Arial" w:hAnsi="Arial" w:cs="Arial"/>
          <w:lang w:val="en-GB"/>
        </w:rPr>
        <w:t xml:space="preserve">part </w:t>
      </w:r>
      <w:r w:rsidRPr="00473E35">
        <w:rPr>
          <w:rFonts w:ascii="Arial" w:eastAsia="Arial" w:hAnsi="Arial" w:cs="Arial"/>
          <w:lang w:val="en-GB"/>
        </w:rPr>
        <w:t>sections</w:t>
      </w:r>
      <w:r w:rsidR="00D9752F">
        <w:rPr>
          <w:rFonts w:ascii="Arial" w:eastAsia="Arial" w:hAnsi="Arial" w:cs="Arial"/>
          <w:lang w:val="en-GB"/>
        </w:rPr>
        <w:t xml:space="preserve">, or </w:t>
      </w:r>
      <w:r w:rsidRPr="00473E35">
        <w:rPr>
          <w:rFonts w:ascii="Arial" w:eastAsia="Arial" w:hAnsi="Arial" w:cs="Arial"/>
          <w:lang w:val="en-GB"/>
        </w:rPr>
        <w:t>individual fields</w:t>
      </w:r>
      <w:r w:rsidR="00D9752F">
        <w:rPr>
          <w:rFonts w:ascii="Arial" w:eastAsia="Arial" w:hAnsi="Arial" w:cs="Arial"/>
          <w:lang w:val="en-GB"/>
        </w:rPr>
        <w:t>,</w:t>
      </w:r>
      <w:r w:rsidRPr="00473E35">
        <w:rPr>
          <w:rFonts w:ascii="Arial" w:eastAsia="Arial" w:hAnsi="Arial" w:cs="Arial"/>
          <w:lang w:val="en-GB"/>
        </w:rPr>
        <w:t xml:space="preserve"> is a frequent response. There are also restrictions relating to environmentally-sensitive fields and bodies of water which the farmer must consider when selecting plant protection agents. These requirements with respect to flexibility in plant protection are in stark contrast to the structural development towards larger sprayers for high</w:t>
      </w:r>
      <w:r w:rsidR="00D9752F">
        <w:rPr>
          <w:rFonts w:ascii="Arial" w:eastAsia="Arial" w:hAnsi="Arial" w:cs="Arial"/>
          <w:lang w:val="en-GB"/>
        </w:rPr>
        <w:t>er</w:t>
      </w:r>
      <w:r w:rsidRPr="00473E35">
        <w:rPr>
          <w:rFonts w:ascii="Arial" w:eastAsia="Arial" w:hAnsi="Arial" w:cs="Arial"/>
          <w:lang w:val="en-GB"/>
        </w:rPr>
        <w:t xml:space="preserve"> work rates and </w:t>
      </w:r>
      <w:r w:rsidR="00D9752F">
        <w:rPr>
          <w:rFonts w:ascii="Arial" w:eastAsia="Arial" w:hAnsi="Arial" w:cs="Arial"/>
          <w:lang w:val="en-GB"/>
        </w:rPr>
        <w:t xml:space="preserve">more </w:t>
      </w:r>
      <w:r w:rsidRPr="00473E35">
        <w:rPr>
          <w:rFonts w:ascii="Arial" w:eastAsia="Arial" w:hAnsi="Arial" w:cs="Arial"/>
          <w:lang w:val="en-GB"/>
        </w:rPr>
        <w:t>economic use.</w:t>
      </w:r>
    </w:p>
    <w:p w14:paraId="156BE390" w14:textId="77777777" w:rsidR="00473E35" w:rsidRPr="00473E35" w:rsidRDefault="00473E35" w:rsidP="00473E35">
      <w:pPr>
        <w:spacing w:after="120" w:line="360" w:lineRule="auto"/>
        <w:ind w:left="567" w:right="1695"/>
        <w:rPr>
          <w:rFonts w:ascii="Arial" w:eastAsia="Arial" w:hAnsi="Arial" w:cs="Arial"/>
          <w:lang w:val="en-GB"/>
        </w:rPr>
      </w:pPr>
    </w:p>
    <w:p w14:paraId="7970B27B"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b/>
          <w:bCs/>
          <w:lang w:val="en-GB"/>
        </w:rPr>
        <w:t>System overview</w:t>
      </w:r>
    </w:p>
    <w:p w14:paraId="737C1C08" w14:textId="2F521E23"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The DirectInject system has enabled AMAZONE to offer a system </w:t>
      </w:r>
      <w:r w:rsidR="00D9752F">
        <w:rPr>
          <w:rFonts w:ascii="Arial" w:eastAsia="Arial" w:hAnsi="Arial" w:cs="Arial"/>
          <w:lang w:val="en-GB"/>
        </w:rPr>
        <w:t xml:space="preserve">of </w:t>
      </w:r>
      <w:r w:rsidRPr="00473E35">
        <w:rPr>
          <w:rFonts w:ascii="Arial" w:eastAsia="Arial" w:hAnsi="Arial" w:cs="Arial"/>
          <w:lang w:val="en-GB"/>
        </w:rPr>
        <w:t xml:space="preserve">direct injection of plant protection agents which solves, for the first time, the conflicting goals described above. </w:t>
      </w:r>
      <w:r w:rsidR="008D539E">
        <w:rPr>
          <w:rFonts w:ascii="Arial" w:eastAsia="Arial" w:hAnsi="Arial" w:cs="Arial"/>
          <w:lang w:val="en-GB"/>
        </w:rPr>
        <w:t xml:space="preserve">The </w:t>
      </w:r>
      <w:r w:rsidR="008D539E" w:rsidRPr="00473E35">
        <w:rPr>
          <w:rFonts w:ascii="Arial" w:eastAsia="Arial" w:hAnsi="Arial" w:cs="Arial"/>
          <w:lang w:val="en-GB"/>
        </w:rPr>
        <w:t>inject</w:t>
      </w:r>
      <w:r w:rsidR="008D539E">
        <w:rPr>
          <w:rFonts w:ascii="Arial" w:eastAsia="Arial" w:hAnsi="Arial" w:cs="Arial"/>
          <w:lang w:val="en-GB"/>
        </w:rPr>
        <w:t>ion of p</w:t>
      </w:r>
      <w:r w:rsidRPr="00473E35">
        <w:rPr>
          <w:rFonts w:ascii="Arial" w:eastAsia="Arial" w:hAnsi="Arial" w:cs="Arial"/>
          <w:lang w:val="en-GB"/>
        </w:rPr>
        <w:t xml:space="preserve">lant protection agents can be </w:t>
      </w:r>
      <w:r w:rsidR="008D539E">
        <w:rPr>
          <w:rFonts w:ascii="Arial" w:eastAsia="Arial" w:hAnsi="Arial" w:cs="Arial"/>
          <w:lang w:val="en-GB"/>
        </w:rPr>
        <w:t xml:space="preserve">started </w:t>
      </w:r>
      <w:r w:rsidRPr="00473E35">
        <w:rPr>
          <w:rFonts w:ascii="Arial" w:eastAsia="Arial" w:hAnsi="Arial" w:cs="Arial"/>
          <w:lang w:val="en-GB"/>
        </w:rPr>
        <w:t xml:space="preserve">or stopped during application as required. The special feature of DirectInject compared to conventional systems is the fast response time of the injection process and its complete integration into the spray </w:t>
      </w:r>
      <w:r w:rsidR="00D9752F">
        <w:rPr>
          <w:rFonts w:ascii="Arial" w:eastAsia="Arial" w:hAnsi="Arial" w:cs="Arial"/>
          <w:lang w:val="en-GB"/>
        </w:rPr>
        <w:t>liquid</w:t>
      </w:r>
      <w:r w:rsidRPr="00473E35">
        <w:rPr>
          <w:rFonts w:ascii="Arial" w:eastAsia="Arial" w:hAnsi="Arial" w:cs="Arial"/>
          <w:lang w:val="en-GB"/>
        </w:rPr>
        <w:t xml:space="preserve"> circuit and operation of the sprayer. </w:t>
      </w:r>
    </w:p>
    <w:p w14:paraId="7B4C48C7" w14:textId="3007108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With DirectInject, it is possible to respond individually to the needs of the crop </w:t>
      </w:r>
      <w:r w:rsidR="00D9752F">
        <w:rPr>
          <w:rFonts w:ascii="Arial" w:eastAsia="Arial" w:hAnsi="Arial" w:cs="Arial"/>
          <w:lang w:val="en-GB"/>
        </w:rPr>
        <w:t>i</w:t>
      </w:r>
      <w:r w:rsidRPr="00473E35">
        <w:rPr>
          <w:rFonts w:ascii="Arial" w:eastAsia="Arial" w:hAnsi="Arial" w:cs="Arial"/>
          <w:lang w:val="en-GB"/>
        </w:rPr>
        <w:t>n the field</w:t>
      </w:r>
      <w:r w:rsidR="00D9752F">
        <w:rPr>
          <w:rFonts w:ascii="Arial" w:eastAsia="Arial" w:hAnsi="Arial" w:cs="Arial"/>
          <w:lang w:val="en-GB"/>
        </w:rPr>
        <w:t xml:space="preserve">, </w:t>
      </w:r>
      <w:r w:rsidRPr="00473E35">
        <w:rPr>
          <w:rFonts w:ascii="Arial" w:eastAsia="Arial" w:hAnsi="Arial" w:cs="Arial"/>
          <w:lang w:val="en-GB"/>
        </w:rPr>
        <w:t>reduc</w:t>
      </w:r>
      <w:r w:rsidR="00D9752F">
        <w:rPr>
          <w:rFonts w:ascii="Arial" w:eastAsia="Arial" w:hAnsi="Arial" w:cs="Arial"/>
          <w:lang w:val="en-GB"/>
        </w:rPr>
        <w:t>ing</w:t>
      </w:r>
      <w:r w:rsidRPr="00473E35">
        <w:rPr>
          <w:rFonts w:ascii="Arial" w:eastAsia="Arial" w:hAnsi="Arial" w:cs="Arial"/>
          <w:lang w:val="en-GB"/>
        </w:rPr>
        <w:t xml:space="preserve"> the us</w:t>
      </w:r>
      <w:r w:rsidR="00D9752F">
        <w:rPr>
          <w:rFonts w:ascii="Arial" w:eastAsia="Arial" w:hAnsi="Arial" w:cs="Arial"/>
          <w:lang w:val="en-GB"/>
        </w:rPr>
        <w:t>ag</w:t>
      </w:r>
      <w:r w:rsidRPr="00473E35">
        <w:rPr>
          <w:rFonts w:ascii="Arial" w:eastAsia="Arial" w:hAnsi="Arial" w:cs="Arial"/>
          <w:lang w:val="en-GB"/>
        </w:rPr>
        <w:t>e of plant protection agents a</w:t>
      </w:r>
      <w:r w:rsidR="00D9752F">
        <w:rPr>
          <w:rFonts w:ascii="Arial" w:eastAsia="Arial" w:hAnsi="Arial" w:cs="Arial"/>
          <w:lang w:val="en-GB"/>
        </w:rPr>
        <w:t xml:space="preserve">s well as </w:t>
      </w:r>
      <w:r w:rsidRPr="00473E35">
        <w:rPr>
          <w:rFonts w:ascii="Arial" w:eastAsia="Arial" w:hAnsi="Arial" w:cs="Arial"/>
          <w:lang w:val="en-GB"/>
        </w:rPr>
        <w:t xml:space="preserve">the number of </w:t>
      </w:r>
      <w:r w:rsidRPr="00473E35">
        <w:rPr>
          <w:rFonts w:ascii="Arial" w:eastAsia="Arial" w:hAnsi="Arial" w:cs="Arial"/>
          <w:lang w:val="en-GB"/>
        </w:rPr>
        <w:lastRenderedPageBreak/>
        <w:t>additional passes with the sprayer. This saves time, money and protects the environment.</w:t>
      </w:r>
    </w:p>
    <w:p w14:paraId="3890ED75"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DirectInject consists of an additional 50 l tank with its own metering system, which is integrated into the storage compartment of the UX 01 Super on the right-hand side of the machine. This means that the tank is also easily accessible from the ground and can be filled safely. The integration of these components into the storage compartment also provides optimum protection for all the equipment. </w:t>
      </w:r>
    </w:p>
    <w:p w14:paraId="2AF28263" w14:textId="6705B74B" w:rsid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The major advantage of the technology is that DirectInject can work with undiluted plant protection agents. A mechanical agitator ensures that even plant protection agents which tend to separate remain homogeneous.</w:t>
      </w:r>
    </w:p>
    <w:p w14:paraId="6155A9FC" w14:textId="77777777" w:rsidR="00473E35" w:rsidRPr="00473E35" w:rsidRDefault="00473E35" w:rsidP="00473E35">
      <w:pPr>
        <w:spacing w:after="120" w:line="360" w:lineRule="auto"/>
        <w:ind w:left="567" w:right="1695"/>
        <w:rPr>
          <w:rFonts w:ascii="Arial" w:eastAsia="Arial" w:hAnsi="Arial" w:cs="Arial"/>
          <w:lang w:val="en-GB"/>
        </w:rPr>
      </w:pPr>
    </w:p>
    <w:p w14:paraId="3480E47C" w14:textId="77777777" w:rsidR="00473E35" w:rsidRPr="00473E35" w:rsidRDefault="00473E35" w:rsidP="00473E35">
      <w:pPr>
        <w:spacing w:after="120" w:line="360" w:lineRule="auto"/>
        <w:ind w:left="567" w:right="1695"/>
        <w:rPr>
          <w:rFonts w:ascii="Arial" w:eastAsia="Arial" w:hAnsi="Arial" w:cs="Arial"/>
          <w:b/>
          <w:bCs/>
          <w:lang w:val="en-GB"/>
        </w:rPr>
      </w:pPr>
      <w:r w:rsidRPr="00473E35">
        <w:rPr>
          <w:rFonts w:ascii="Arial" w:eastAsia="Arial" w:hAnsi="Arial" w:cs="Arial"/>
          <w:b/>
          <w:bCs/>
          <w:lang w:val="en-GB"/>
        </w:rPr>
        <w:t>Application in the field</w:t>
      </w:r>
    </w:p>
    <w:p w14:paraId="4FCA3EB0" w14:textId="5C262B77" w:rsid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If the sprayer </w:t>
      </w:r>
      <w:r w:rsidR="00B43C1B">
        <w:rPr>
          <w:rFonts w:ascii="Arial" w:eastAsia="Arial" w:hAnsi="Arial" w:cs="Arial"/>
          <w:lang w:val="en-GB"/>
        </w:rPr>
        <w:t xml:space="preserve">operator </w:t>
      </w:r>
      <w:r w:rsidRPr="00473E35">
        <w:rPr>
          <w:rFonts w:ascii="Arial" w:eastAsia="Arial" w:hAnsi="Arial" w:cs="Arial"/>
          <w:lang w:val="en-GB"/>
        </w:rPr>
        <w:t xml:space="preserve">notices, for instance, a prevalence of unwanted weeds that need to be controlled in a specific part-area, </w:t>
      </w:r>
      <w:r w:rsidR="00B43C1B">
        <w:rPr>
          <w:rFonts w:ascii="Arial" w:eastAsia="Arial" w:hAnsi="Arial" w:cs="Arial"/>
          <w:lang w:val="en-GB"/>
        </w:rPr>
        <w:t xml:space="preserve">they </w:t>
      </w:r>
      <w:r w:rsidRPr="00473E35">
        <w:rPr>
          <w:rFonts w:ascii="Arial" w:eastAsia="Arial" w:hAnsi="Arial" w:cs="Arial"/>
          <w:lang w:val="en-GB"/>
        </w:rPr>
        <w:t xml:space="preserve">can activate the </w:t>
      </w:r>
      <w:r w:rsidR="00B43C1B">
        <w:rPr>
          <w:rFonts w:ascii="Arial" w:eastAsia="Arial" w:hAnsi="Arial" w:cs="Arial"/>
          <w:lang w:val="en-GB"/>
        </w:rPr>
        <w:t>D</w:t>
      </w:r>
      <w:r w:rsidRPr="00473E35">
        <w:rPr>
          <w:rFonts w:ascii="Arial" w:eastAsia="Arial" w:hAnsi="Arial" w:cs="Arial"/>
          <w:lang w:val="en-GB"/>
        </w:rPr>
        <w:t xml:space="preserve">irectInject </w:t>
      </w:r>
      <w:r w:rsidR="00B43C1B">
        <w:rPr>
          <w:rFonts w:ascii="Arial" w:eastAsia="Arial" w:hAnsi="Arial" w:cs="Arial"/>
          <w:lang w:val="en-GB"/>
        </w:rPr>
        <w:t xml:space="preserve">system </w:t>
      </w:r>
      <w:r w:rsidRPr="00473E35">
        <w:rPr>
          <w:rFonts w:ascii="Arial" w:eastAsia="Arial" w:hAnsi="Arial" w:cs="Arial"/>
          <w:lang w:val="en-GB"/>
        </w:rPr>
        <w:t xml:space="preserve">from the cab at the touch of a button. The supplementary product from the DirectInject tank is then added to the spray agent from the spray agent tank. The optimised reaction time compared to conventional systems is achieved by a twin-line system. Pre-mixed spray agent from the spray agent tank and the plant protection agent from the DirectInject tank are held in </w:t>
      </w:r>
      <w:r w:rsidR="001A4F5E">
        <w:rPr>
          <w:rFonts w:ascii="Arial" w:eastAsia="Arial" w:hAnsi="Arial" w:cs="Arial"/>
          <w:lang w:val="en-GB"/>
        </w:rPr>
        <w:t>different</w:t>
      </w:r>
      <w:r w:rsidRPr="00473E35">
        <w:rPr>
          <w:rFonts w:ascii="Arial" w:eastAsia="Arial" w:hAnsi="Arial" w:cs="Arial"/>
          <w:lang w:val="en-GB"/>
        </w:rPr>
        <w:t xml:space="preserve"> </w:t>
      </w:r>
      <w:r w:rsidR="006446E9">
        <w:rPr>
          <w:rFonts w:ascii="Arial" w:eastAsia="Arial" w:hAnsi="Arial" w:cs="Arial"/>
          <w:lang w:val="en-GB"/>
        </w:rPr>
        <w:t>feed pipes</w:t>
      </w:r>
      <w:bookmarkStart w:id="0" w:name="_GoBack"/>
      <w:bookmarkEnd w:id="0"/>
      <w:r w:rsidR="001A4F5E">
        <w:rPr>
          <w:rFonts w:ascii="Arial" w:eastAsia="Arial" w:hAnsi="Arial" w:cs="Arial"/>
          <w:lang w:val="en-GB"/>
        </w:rPr>
        <w:t xml:space="preserve"> on </w:t>
      </w:r>
      <w:r w:rsidRPr="00473E35">
        <w:rPr>
          <w:rFonts w:ascii="Arial" w:eastAsia="Arial" w:hAnsi="Arial" w:cs="Arial"/>
          <w:lang w:val="en-GB"/>
        </w:rPr>
        <w:t xml:space="preserve">the boom. When the direct feed system is activated, the mixture is applied through the nozzle bodies and nozzles via several injection points in the boom. These short routes for the spray agent </w:t>
      </w:r>
      <w:r w:rsidR="00B43C1B">
        <w:rPr>
          <w:rFonts w:ascii="Arial" w:eastAsia="Arial" w:hAnsi="Arial" w:cs="Arial"/>
          <w:lang w:val="en-GB"/>
        </w:rPr>
        <w:t>to get directly to</w:t>
      </w:r>
      <w:r w:rsidRPr="00473E35">
        <w:rPr>
          <w:rFonts w:ascii="Arial" w:eastAsia="Arial" w:hAnsi="Arial" w:cs="Arial"/>
          <w:lang w:val="en-GB"/>
        </w:rPr>
        <w:t xml:space="preserve"> the boom result in short reaction times in the field. The DUS pro high-pressure recirculation system enables the spray agent in the spray line to circulate with the pre-set spray pressure at all times, even when the nozzles are closed. Circulation is stopped when the direct feed system is activated, meaning that the spray agent from the spray agent tank is not mixed with the product from the DirectInject tank.</w:t>
      </w:r>
    </w:p>
    <w:p w14:paraId="45067145" w14:textId="77777777" w:rsidR="00473E35" w:rsidRPr="00473E35" w:rsidRDefault="00473E35" w:rsidP="00473E35">
      <w:pPr>
        <w:spacing w:after="120" w:line="360" w:lineRule="auto"/>
        <w:ind w:left="567" w:right="1695"/>
        <w:rPr>
          <w:rFonts w:ascii="Arial" w:eastAsia="Arial" w:hAnsi="Arial" w:cs="Arial"/>
          <w:lang w:val="en-GB"/>
        </w:rPr>
      </w:pPr>
    </w:p>
    <w:p w14:paraId="1CD3D762"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b/>
          <w:bCs/>
          <w:lang w:val="en-GB"/>
        </w:rPr>
        <w:lastRenderedPageBreak/>
        <w:t>Residual spray volumes and cleaning</w:t>
      </w:r>
    </w:p>
    <w:p w14:paraId="05FA7E3B"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Since DirectInject can work with undiluted plant protection agents, unused quantities can be returned to the original container of the product after application. As a result, the amount of plant protection agent actually needed does not have to be known before application, nor do mixed residual amounts have to be dealt with afterwards.</w:t>
      </w:r>
    </w:p>
    <w:p w14:paraId="75C956AD" w14:textId="51FEB8E8"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The entire system can be cleaned automatically and remotely from the tractor cab after application. All </w:t>
      </w:r>
      <w:r w:rsidR="00B43C1B">
        <w:rPr>
          <w:rFonts w:ascii="Arial" w:eastAsia="Arial" w:hAnsi="Arial" w:cs="Arial"/>
          <w:lang w:val="en-GB"/>
        </w:rPr>
        <w:t xml:space="preserve">the elements </w:t>
      </w:r>
      <w:r w:rsidRPr="00473E35">
        <w:rPr>
          <w:rFonts w:ascii="Arial" w:eastAsia="Arial" w:hAnsi="Arial" w:cs="Arial"/>
          <w:lang w:val="en-GB"/>
        </w:rPr>
        <w:t>are integrated in</w:t>
      </w:r>
      <w:r w:rsidR="00B43C1B">
        <w:rPr>
          <w:rFonts w:ascii="Arial" w:eastAsia="Arial" w:hAnsi="Arial" w:cs="Arial"/>
          <w:lang w:val="en-GB"/>
        </w:rPr>
        <w:t>to the</w:t>
      </w:r>
      <w:r w:rsidRPr="00473E35">
        <w:rPr>
          <w:rFonts w:ascii="Arial" w:eastAsia="Arial" w:hAnsi="Arial" w:cs="Arial"/>
          <w:lang w:val="en-GB"/>
        </w:rPr>
        <w:t xml:space="preserve"> Comfort-Pack on the sprayer for this purpose. This gives the user </w:t>
      </w:r>
      <w:r w:rsidR="00B43C1B">
        <w:rPr>
          <w:rFonts w:ascii="Arial" w:eastAsia="Arial" w:hAnsi="Arial" w:cs="Arial"/>
          <w:lang w:val="en-GB"/>
        </w:rPr>
        <w:t>peace of mind</w:t>
      </w:r>
      <w:r w:rsidRPr="00473E35">
        <w:rPr>
          <w:rFonts w:ascii="Arial" w:eastAsia="Arial" w:hAnsi="Arial" w:cs="Arial"/>
          <w:lang w:val="en-GB"/>
        </w:rPr>
        <w:t xml:space="preserve"> and saves time.</w:t>
      </w:r>
    </w:p>
    <w:p w14:paraId="480F225C" w14:textId="13C55A62"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Farmers who use DirectInject report that they can now react much more flexibly to individual fields and part areas with respect to plant protection. Where differentiated, immediate applications were otherwise not possible, they can now react to the situation in the field </w:t>
      </w:r>
      <w:r w:rsidR="00B43C1B">
        <w:rPr>
          <w:rFonts w:ascii="Arial" w:eastAsia="Arial" w:hAnsi="Arial" w:cs="Arial"/>
          <w:lang w:val="en-GB"/>
        </w:rPr>
        <w:t xml:space="preserve">within that </w:t>
      </w:r>
      <w:r w:rsidRPr="00473E35">
        <w:rPr>
          <w:rFonts w:ascii="Arial" w:eastAsia="Arial" w:hAnsi="Arial" w:cs="Arial"/>
          <w:lang w:val="en-GB"/>
        </w:rPr>
        <w:t>one pass. Time saved, a reduction in the use of plant protection agents and optimum crops are the result.</w:t>
      </w:r>
    </w:p>
    <w:p w14:paraId="07A5F27A" w14:textId="233436B7" w:rsid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The DirectInject direct feed system can be used with the UX 01 single-axle crop protection sprayers with standard ISOBUS communication and AmaSwitch or AmaSelect single nozzle control with DUS pro high-pressure recirculation system.</w:t>
      </w:r>
    </w:p>
    <w:p w14:paraId="2523CB5F" w14:textId="77777777" w:rsidR="00473E35" w:rsidRPr="00473E35" w:rsidRDefault="00473E35" w:rsidP="00473E35">
      <w:pPr>
        <w:spacing w:after="120" w:line="360" w:lineRule="auto"/>
        <w:ind w:left="567" w:right="1695"/>
        <w:rPr>
          <w:rFonts w:ascii="Arial" w:eastAsia="Arial" w:hAnsi="Arial" w:cs="Arial"/>
          <w:lang w:val="en-GB"/>
        </w:rPr>
      </w:pPr>
    </w:p>
    <w:p w14:paraId="0453D7A3"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b/>
          <w:bCs/>
          <w:lang w:val="en-GB"/>
        </w:rPr>
        <w:t>The advantages at a glance:</w:t>
      </w:r>
    </w:p>
    <w:p w14:paraId="1F844D3A" w14:textId="2929C840" w:rsidR="00473E35" w:rsidRPr="00473E35" w:rsidRDefault="00473E35" w:rsidP="00473E35">
      <w:pPr>
        <w:pStyle w:val="ListParagraph"/>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Flexible, fast and needs-based use of plant protection agents</w:t>
      </w:r>
    </w:p>
    <w:p w14:paraId="70674ADF" w14:textId="77777777" w:rsidR="00473E35" w:rsidRPr="00473E35" w:rsidRDefault="00473E35" w:rsidP="00473E35">
      <w:pPr>
        <w:pStyle w:val="ListParagraph"/>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 xml:space="preserve">Saving of: </w:t>
      </w:r>
    </w:p>
    <w:p w14:paraId="27AD2D76" w14:textId="4EE96477" w:rsidR="00473E35" w:rsidRPr="00473E35" w:rsidRDefault="00473E35" w:rsidP="00473E35">
      <w:pPr>
        <w:pStyle w:val="ListParagraph"/>
        <w:numPr>
          <w:ilvl w:val="1"/>
          <w:numId w:val="7"/>
        </w:numPr>
        <w:spacing w:after="120" w:line="360" w:lineRule="auto"/>
        <w:ind w:right="1695"/>
        <w:rPr>
          <w:rFonts w:ascii="Arial" w:eastAsia="Arial" w:hAnsi="Arial" w:cs="Arial"/>
          <w:lang w:val="en-GB"/>
        </w:rPr>
      </w:pPr>
      <w:r w:rsidRPr="00473E35">
        <w:rPr>
          <w:rFonts w:ascii="Arial" w:eastAsia="Arial" w:hAnsi="Arial" w:cs="Arial"/>
          <w:lang w:val="en-GB"/>
        </w:rPr>
        <w:t>Working time and labour costs</w:t>
      </w:r>
    </w:p>
    <w:p w14:paraId="11673104" w14:textId="18AC3BA9" w:rsidR="00473E35" w:rsidRPr="00473E35" w:rsidRDefault="00473E35" w:rsidP="00473E35">
      <w:pPr>
        <w:pStyle w:val="ListParagraph"/>
        <w:numPr>
          <w:ilvl w:val="1"/>
          <w:numId w:val="7"/>
        </w:numPr>
        <w:spacing w:after="120" w:line="360" w:lineRule="auto"/>
        <w:ind w:right="1695"/>
        <w:rPr>
          <w:rFonts w:ascii="Arial" w:eastAsia="Arial" w:hAnsi="Arial" w:cs="Arial"/>
          <w:lang w:val="en-GB"/>
        </w:rPr>
      </w:pPr>
      <w:r w:rsidRPr="00473E35">
        <w:rPr>
          <w:rFonts w:ascii="Arial" w:eastAsia="Arial" w:hAnsi="Arial" w:cs="Arial"/>
          <w:lang w:val="en-GB"/>
        </w:rPr>
        <w:t>Machine</w:t>
      </w:r>
      <w:r w:rsidR="001A4F5E">
        <w:rPr>
          <w:rFonts w:ascii="Arial" w:eastAsia="Arial" w:hAnsi="Arial" w:cs="Arial"/>
          <w:lang w:val="en-GB"/>
        </w:rPr>
        <w:t>ry</w:t>
      </w:r>
      <w:r w:rsidRPr="00473E35">
        <w:rPr>
          <w:rFonts w:ascii="Arial" w:eastAsia="Arial" w:hAnsi="Arial" w:cs="Arial"/>
          <w:lang w:val="en-GB"/>
        </w:rPr>
        <w:t xml:space="preserve"> costs</w:t>
      </w:r>
    </w:p>
    <w:p w14:paraId="319368B6" w14:textId="49860308" w:rsidR="00473E35" w:rsidRPr="00473E35" w:rsidRDefault="00473E35" w:rsidP="00473E35">
      <w:pPr>
        <w:pStyle w:val="ListParagraph"/>
        <w:numPr>
          <w:ilvl w:val="1"/>
          <w:numId w:val="7"/>
        </w:numPr>
        <w:spacing w:after="120" w:line="360" w:lineRule="auto"/>
        <w:ind w:right="1695"/>
        <w:rPr>
          <w:rFonts w:ascii="Arial" w:eastAsia="Arial" w:hAnsi="Arial" w:cs="Arial"/>
          <w:lang w:val="en-GB"/>
        </w:rPr>
      </w:pPr>
      <w:r w:rsidRPr="00473E35">
        <w:rPr>
          <w:rFonts w:ascii="Arial" w:eastAsia="Arial" w:hAnsi="Arial" w:cs="Arial"/>
          <w:lang w:val="en-GB"/>
        </w:rPr>
        <w:t>Plant protection agents</w:t>
      </w:r>
    </w:p>
    <w:p w14:paraId="7F24E242" w14:textId="549AE7FD" w:rsidR="00473E35" w:rsidRPr="00473E35" w:rsidRDefault="00473E35" w:rsidP="00473E35">
      <w:pPr>
        <w:pStyle w:val="ListParagraph"/>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Optimum crops</w:t>
      </w:r>
    </w:p>
    <w:p w14:paraId="4508FD81" w14:textId="6FF99375" w:rsidR="00473E35" w:rsidRPr="00473E35" w:rsidRDefault="00473E35" w:rsidP="00473E35">
      <w:pPr>
        <w:pStyle w:val="ListParagraph"/>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Environmentally-friendly</w:t>
      </w:r>
    </w:p>
    <w:p w14:paraId="5980F6B1" w14:textId="04F21DB3" w:rsidR="008A5EF3" w:rsidRPr="008A5EF3" w:rsidRDefault="008A5EF3" w:rsidP="00473E35">
      <w:pPr>
        <w:spacing w:after="120" w:line="360" w:lineRule="auto"/>
        <w:ind w:left="567" w:right="1695"/>
        <w:rPr>
          <w:rFonts w:ascii="Arial" w:eastAsia="Arial" w:hAnsi="Arial" w:cs="Arial"/>
        </w:rPr>
      </w:pPr>
    </w:p>
    <w:p w14:paraId="4EDB8339" w14:textId="6164E3D5" w:rsidR="00070765" w:rsidRDefault="00070765" w:rsidP="00070765">
      <w:pPr>
        <w:spacing w:after="120" w:line="360" w:lineRule="auto"/>
        <w:ind w:left="567" w:right="1695"/>
        <w:rPr>
          <w:rFonts w:ascii="Arial" w:eastAsia="Arial" w:hAnsi="Arial" w:cs="Arial"/>
        </w:rPr>
      </w:pPr>
    </w:p>
    <w:p w14:paraId="36C863FE" w14:textId="5140A3AF" w:rsidR="00563773" w:rsidRDefault="00BC75BF" w:rsidP="008A5EF3">
      <w:pPr>
        <w:spacing w:after="120" w:line="360" w:lineRule="auto"/>
        <w:ind w:left="567" w:right="1695"/>
        <w:rPr>
          <w:rFonts w:ascii="Arial" w:eastAsia="Arial" w:hAnsi="Arial" w:cs="Arial"/>
        </w:rPr>
      </w:pPr>
      <w:r>
        <w:rPr>
          <w:rFonts w:ascii="Arial" w:eastAsia="Arial" w:hAnsi="Arial" w:cs="Arial"/>
          <w:noProof/>
          <w:lang w:val="en-GB" w:eastAsia="en-GB"/>
        </w:rPr>
        <w:lastRenderedPageBreak/>
        <w:drawing>
          <wp:inline distT="0" distB="0" distL="0" distR="0" wp14:anchorId="37D4476B" wp14:editId="2A89BAEF">
            <wp:extent cx="3475620" cy="2880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66BFF177" w14:textId="36A795AB"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DirectInject </w:t>
      </w:r>
      <w:r w:rsidR="00B43C1B">
        <w:rPr>
          <w:rFonts w:ascii="Arial" w:eastAsia="Arial" w:hAnsi="Arial" w:cs="Arial"/>
          <w:lang w:val="en-GB"/>
        </w:rPr>
        <w:t>layout</w:t>
      </w:r>
      <w:r w:rsidRPr="00473E35">
        <w:rPr>
          <w:rFonts w:ascii="Arial" w:eastAsia="Arial" w:hAnsi="Arial" w:cs="Arial"/>
          <w:lang w:val="en-GB"/>
        </w:rPr>
        <w:t xml:space="preserve"> with </w:t>
      </w:r>
      <w:r w:rsidR="00B43C1B">
        <w:rPr>
          <w:rFonts w:ascii="Arial" w:eastAsia="Arial" w:hAnsi="Arial" w:cs="Arial"/>
          <w:lang w:val="en-GB"/>
        </w:rPr>
        <w:t xml:space="preserve">its </w:t>
      </w:r>
      <w:r w:rsidRPr="00473E35">
        <w:rPr>
          <w:rFonts w:ascii="Arial" w:eastAsia="Arial" w:hAnsi="Arial" w:cs="Arial"/>
          <w:lang w:val="en-GB"/>
        </w:rPr>
        <w:t>50 l tank and pump unit in the storage compartment of the UX 01 Super</w:t>
      </w:r>
    </w:p>
    <w:p w14:paraId="15948414" w14:textId="0387F754" w:rsidR="008A5EF3" w:rsidRPr="005F3F69" w:rsidRDefault="008A5EF3" w:rsidP="008A5EF3">
      <w:pPr>
        <w:spacing w:after="120" w:line="360" w:lineRule="auto"/>
        <w:ind w:left="567" w:right="1695"/>
        <w:rPr>
          <w:rFonts w:ascii="Arial" w:eastAsia="Arial" w:hAnsi="Arial" w:cs="Arial"/>
          <w:lang w:val="en-GB"/>
        </w:rPr>
      </w:pPr>
    </w:p>
    <w:p w14:paraId="1227F569" w14:textId="77777777" w:rsidR="00611A1C" w:rsidRPr="005F3F69" w:rsidRDefault="00611A1C" w:rsidP="008A5EF3">
      <w:pPr>
        <w:spacing w:after="120" w:line="360" w:lineRule="auto"/>
        <w:ind w:left="567" w:right="1695"/>
        <w:rPr>
          <w:rFonts w:ascii="Arial" w:eastAsia="Arial" w:hAnsi="Arial" w:cs="Arial"/>
          <w:lang w:val="en-GB"/>
        </w:rPr>
      </w:pPr>
    </w:p>
    <w:p w14:paraId="27CE7B96" w14:textId="21FE70D9" w:rsidR="00611A1C" w:rsidRDefault="00611A1C" w:rsidP="00611A1C">
      <w:pPr>
        <w:spacing w:after="120" w:line="360" w:lineRule="auto"/>
        <w:ind w:left="567" w:right="1695"/>
        <w:rPr>
          <w:rFonts w:ascii="Arial" w:eastAsia="Arial" w:hAnsi="Arial" w:cs="Arial"/>
        </w:rPr>
      </w:pPr>
      <w:r>
        <w:rPr>
          <w:rFonts w:ascii="Arial" w:eastAsia="Arial" w:hAnsi="Arial" w:cs="Arial"/>
          <w:noProof/>
          <w:lang w:val="en-GB" w:eastAsia="en-GB"/>
        </w:rPr>
        <w:drawing>
          <wp:inline distT="0" distB="0" distL="0" distR="0" wp14:anchorId="48C2510A" wp14:editId="4B0B174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0C5507D"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Activation of DirectInject in the AmaTron 4 terminal</w:t>
      </w:r>
    </w:p>
    <w:p w14:paraId="4C5D6FFC" w14:textId="40B0CF21" w:rsidR="008A5EF3" w:rsidRPr="005F3F69" w:rsidRDefault="008A5EF3" w:rsidP="008A5EF3">
      <w:pPr>
        <w:spacing w:after="120" w:line="360" w:lineRule="auto"/>
        <w:ind w:left="567" w:right="1695"/>
        <w:rPr>
          <w:rFonts w:ascii="Arial" w:eastAsia="Arial" w:hAnsi="Arial" w:cs="Arial"/>
          <w:lang w:val="en-GB"/>
        </w:rPr>
      </w:pPr>
    </w:p>
    <w:p w14:paraId="5A07063E" w14:textId="5A876FE2" w:rsidR="00563773" w:rsidRPr="005F3F69" w:rsidRDefault="00563773" w:rsidP="008A5EF3">
      <w:pPr>
        <w:spacing w:after="120" w:line="360" w:lineRule="auto"/>
        <w:ind w:left="567" w:right="1695"/>
        <w:rPr>
          <w:rFonts w:ascii="Arial" w:eastAsia="Arial" w:hAnsi="Arial" w:cs="Arial"/>
          <w:lang w:val="en-GB"/>
        </w:rPr>
      </w:pPr>
    </w:p>
    <w:p w14:paraId="18DC1881" w14:textId="4EA4D9D0" w:rsidR="00563773" w:rsidRPr="005F3F69" w:rsidRDefault="00563773" w:rsidP="008A5EF3">
      <w:pPr>
        <w:spacing w:after="120" w:line="360" w:lineRule="auto"/>
        <w:ind w:left="567" w:right="1695"/>
        <w:rPr>
          <w:rFonts w:ascii="Arial" w:eastAsia="Arial" w:hAnsi="Arial" w:cs="Arial"/>
          <w:lang w:val="en-GB"/>
        </w:rPr>
      </w:pPr>
    </w:p>
    <w:p w14:paraId="2544EF4F" w14:textId="31EDCBA5" w:rsidR="00563773" w:rsidRDefault="00473E35" w:rsidP="008A5EF3">
      <w:pPr>
        <w:spacing w:after="120" w:line="360" w:lineRule="auto"/>
        <w:ind w:left="567" w:right="1695"/>
        <w:rPr>
          <w:rFonts w:ascii="Arial" w:eastAsia="Arial" w:hAnsi="Arial" w:cs="Arial"/>
        </w:rPr>
      </w:pPr>
      <w:r>
        <w:rPr>
          <w:rFonts w:ascii="Arial" w:eastAsia="Arial" w:hAnsi="Arial" w:cs="Arial"/>
          <w:noProof/>
          <w:lang w:val="en-GB" w:eastAsia="en-GB"/>
        </w:rPr>
        <w:drawing>
          <wp:inline distT="0" distB="0" distL="0" distR="0" wp14:anchorId="0AAA418D" wp14:editId="652EDD1C">
            <wp:extent cx="6055200" cy="2880000"/>
            <wp:effectExtent l="0" t="0" r="317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6613EC5A" w14:textId="4FE87412" w:rsidR="008A5EF3" w:rsidRDefault="008A5EF3" w:rsidP="008A5EF3">
      <w:pPr>
        <w:spacing w:after="120" w:line="360" w:lineRule="auto"/>
        <w:ind w:left="567" w:right="1695"/>
        <w:rPr>
          <w:rFonts w:ascii="Arial" w:eastAsia="Arial" w:hAnsi="Arial" w:cs="Arial"/>
        </w:rPr>
      </w:pPr>
    </w:p>
    <w:p w14:paraId="23B9AB49" w14:textId="24ECD3B5" w:rsidR="00611A1C" w:rsidRDefault="00611A1C"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lang w:val="en-GB" w:eastAsia="en-GB"/>
        </w:rPr>
        <w:drawing>
          <wp:inline distT="0" distB="0" distL="0" distR="0" wp14:anchorId="5EEFA597" wp14:editId="304B94F5">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FAFA40"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DirectInject tank with integrated sieve for easy and safe filling</w:t>
      </w:r>
    </w:p>
    <w:p w14:paraId="4D8D29F7" w14:textId="3A07EB5E" w:rsidR="008A5EF3" w:rsidRPr="005F3F69" w:rsidRDefault="008A5EF3" w:rsidP="008A5EF3">
      <w:pPr>
        <w:spacing w:after="120" w:line="360" w:lineRule="auto"/>
        <w:ind w:left="567" w:right="1695"/>
        <w:rPr>
          <w:rFonts w:ascii="Arial" w:eastAsia="Arial" w:hAnsi="Arial" w:cs="Arial"/>
          <w:lang w:val="en-GB"/>
        </w:rPr>
      </w:pPr>
    </w:p>
    <w:p w14:paraId="5CDD44A5" w14:textId="2F9F636E" w:rsidR="008A5EF3" w:rsidRPr="005F3F69" w:rsidRDefault="008A5EF3" w:rsidP="008A5EF3">
      <w:pPr>
        <w:spacing w:after="120" w:line="360" w:lineRule="auto"/>
        <w:ind w:left="567" w:right="1695"/>
        <w:rPr>
          <w:rFonts w:ascii="Arial" w:eastAsia="Arial" w:hAnsi="Arial" w:cs="Arial"/>
          <w:lang w:val="en-GB"/>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lang w:val="en-GB" w:eastAsia="en-GB"/>
        </w:rPr>
        <w:lastRenderedPageBreak/>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10935C"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Mechanical agitator and cleaning nozzle in the DirectInject tank</w:t>
      </w:r>
    </w:p>
    <w:p w14:paraId="7F357D53" w14:textId="24ECDCC3" w:rsidR="008A5EF3" w:rsidRPr="005F3F69" w:rsidRDefault="008A5EF3" w:rsidP="008A5EF3">
      <w:pPr>
        <w:spacing w:after="120" w:line="360" w:lineRule="auto"/>
        <w:ind w:left="567" w:right="1695"/>
        <w:rPr>
          <w:rFonts w:ascii="Arial" w:eastAsia="Arial" w:hAnsi="Arial" w:cs="Arial"/>
          <w:lang w:val="en-GB"/>
        </w:rPr>
      </w:pPr>
    </w:p>
    <w:p w14:paraId="2DDDDF23" w14:textId="6C9F6854" w:rsidR="008A5EF3" w:rsidRPr="005F3F69" w:rsidRDefault="008A5EF3" w:rsidP="008A5EF3">
      <w:pPr>
        <w:spacing w:after="120" w:line="360" w:lineRule="auto"/>
        <w:ind w:left="567" w:right="1695"/>
        <w:rPr>
          <w:rFonts w:ascii="Arial" w:eastAsia="Arial" w:hAnsi="Arial" w:cs="Arial"/>
          <w:lang w:val="en-GB"/>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lang w:val="en-GB" w:eastAsia="en-GB"/>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36957D1"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Exact input of the added quantity</w:t>
      </w:r>
    </w:p>
    <w:p w14:paraId="4E2DD585" w14:textId="0F8940DD" w:rsidR="008A5EF3" w:rsidRPr="005F3F69" w:rsidRDefault="008A5EF3" w:rsidP="008A5EF3">
      <w:pPr>
        <w:spacing w:after="120" w:line="360" w:lineRule="auto"/>
        <w:ind w:left="567" w:right="1695"/>
        <w:rPr>
          <w:rFonts w:ascii="Arial" w:eastAsia="Arial" w:hAnsi="Arial" w:cs="Arial"/>
          <w:lang w:val="en-GB"/>
        </w:rPr>
      </w:pPr>
    </w:p>
    <w:p w14:paraId="1F8A0BB2" w14:textId="0DEF61FE" w:rsidR="008A5EF3" w:rsidRPr="005F3F69" w:rsidRDefault="008A5EF3" w:rsidP="008A5EF3">
      <w:pPr>
        <w:spacing w:after="120" w:line="360" w:lineRule="auto"/>
        <w:ind w:left="567" w:right="1695"/>
        <w:rPr>
          <w:rFonts w:ascii="Arial" w:eastAsia="Arial" w:hAnsi="Arial" w:cs="Arial"/>
          <w:lang w:val="en-GB"/>
        </w:rPr>
      </w:pPr>
    </w:p>
    <w:p w14:paraId="338EF4D6" w14:textId="0E538BFD" w:rsidR="008A5EF3" w:rsidRPr="005F3F69" w:rsidRDefault="008A5EF3" w:rsidP="008A5EF3">
      <w:pPr>
        <w:spacing w:after="120" w:line="360" w:lineRule="auto"/>
        <w:ind w:left="567" w:right="1695"/>
        <w:rPr>
          <w:rFonts w:ascii="Arial" w:eastAsia="Arial" w:hAnsi="Arial" w:cs="Arial"/>
          <w:lang w:val="en-GB"/>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lang w:val="en-GB" w:eastAsia="en-GB"/>
        </w:rPr>
        <w:lastRenderedPageBreak/>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095DF61"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The boom has two separate supply lines, yellow and green, which are switched remotely</w:t>
      </w:r>
    </w:p>
    <w:p w14:paraId="362E1F02" w14:textId="64A98351" w:rsidR="008A5EF3" w:rsidRPr="005F3F69" w:rsidRDefault="008A5EF3" w:rsidP="008A5EF3">
      <w:pPr>
        <w:spacing w:after="120" w:line="360" w:lineRule="auto"/>
        <w:ind w:left="567" w:right="1695"/>
        <w:rPr>
          <w:rFonts w:ascii="Arial" w:eastAsia="Arial" w:hAnsi="Arial" w:cs="Arial"/>
          <w:lang w:val="en-GB"/>
        </w:rPr>
      </w:pPr>
    </w:p>
    <w:p w14:paraId="561FB2D6" w14:textId="77777777" w:rsidR="008A5EF3" w:rsidRPr="005F3F69" w:rsidRDefault="008A5EF3" w:rsidP="008A5EF3">
      <w:pPr>
        <w:spacing w:after="120" w:line="360" w:lineRule="auto"/>
        <w:ind w:left="567" w:right="1695"/>
        <w:rPr>
          <w:rFonts w:ascii="Arial" w:eastAsia="Arial" w:hAnsi="Arial" w:cs="Arial"/>
          <w:lang w:val="en-GB"/>
        </w:rPr>
      </w:pPr>
    </w:p>
    <w:p w14:paraId="59C57CC2" w14:textId="08501697" w:rsidR="008A5EF3" w:rsidRPr="005F3F69" w:rsidRDefault="008A5EF3" w:rsidP="008A5EF3">
      <w:pPr>
        <w:spacing w:after="120" w:line="360" w:lineRule="auto"/>
        <w:ind w:left="567" w:right="1695"/>
        <w:rPr>
          <w:rFonts w:ascii="Arial" w:eastAsia="Arial" w:hAnsi="Arial" w:cs="Arial"/>
          <w:lang w:val="en-GB"/>
        </w:rPr>
      </w:pPr>
    </w:p>
    <w:p w14:paraId="037F58DB" w14:textId="47806D4D" w:rsidR="008A5EF3" w:rsidRPr="005F3F69" w:rsidRDefault="008A5EF3" w:rsidP="008A5EF3">
      <w:pPr>
        <w:spacing w:after="120" w:line="360" w:lineRule="auto"/>
        <w:ind w:left="567" w:right="1695"/>
        <w:rPr>
          <w:rFonts w:ascii="Arial" w:eastAsia="Arial" w:hAnsi="Arial" w:cs="Arial"/>
          <w:lang w:val="en-GB"/>
        </w:rPr>
      </w:pPr>
    </w:p>
    <w:p w14:paraId="24EDEF1A" w14:textId="77777777" w:rsidR="008A5EF3" w:rsidRPr="005F3F69" w:rsidRDefault="008A5EF3" w:rsidP="008A5EF3">
      <w:pPr>
        <w:spacing w:after="120" w:line="360" w:lineRule="auto"/>
        <w:ind w:left="567" w:right="1695"/>
        <w:rPr>
          <w:rFonts w:ascii="Arial" w:eastAsia="Arial" w:hAnsi="Arial" w:cs="Arial"/>
          <w:lang w:val="en-GB"/>
        </w:rPr>
      </w:pPr>
    </w:p>
    <w:p w14:paraId="14803D4B" w14:textId="0F3FF538" w:rsidR="00070765" w:rsidRPr="005F3F69" w:rsidRDefault="00070765" w:rsidP="00070765">
      <w:pPr>
        <w:spacing w:after="120" w:line="360" w:lineRule="auto"/>
        <w:ind w:left="567" w:right="1695"/>
        <w:rPr>
          <w:rFonts w:ascii="Arial" w:eastAsia="Arial" w:hAnsi="Arial" w:cs="Arial"/>
          <w:lang w:val="en-GB"/>
        </w:rPr>
      </w:pPr>
    </w:p>
    <w:p w14:paraId="23AF287B" w14:textId="11B0C6EF" w:rsidR="00611A1C" w:rsidRPr="005F3F69" w:rsidRDefault="00611A1C" w:rsidP="00070765">
      <w:pPr>
        <w:spacing w:after="120" w:line="360" w:lineRule="auto"/>
        <w:ind w:left="567" w:right="1695"/>
        <w:rPr>
          <w:rFonts w:ascii="Arial" w:eastAsia="Arial" w:hAnsi="Arial" w:cs="Arial"/>
          <w:lang w:val="en-GB"/>
        </w:rPr>
      </w:pPr>
    </w:p>
    <w:p w14:paraId="45CC86E8" w14:textId="52604214" w:rsidR="00611A1C" w:rsidRPr="005F3F69" w:rsidRDefault="00611A1C" w:rsidP="00070765">
      <w:pPr>
        <w:spacing w:after="120" w:line="360" w:lineRule="auto"/>
        <w:ind w:left="567" w:right="1695"/>
        <w:rPr>
          <w:rFonts w:ascii="Arial" w:eastAsia="Arial" w:hAnsi="Arial" w:cs="Arial"/>
          <w:lang w:val="en-GB"/>
        </w:rPr>
      </w:pPr>
    </w:p>
    <w:p w14:paraId="51D3E443" w14:textId="48E8C6DD" w:rsidR="00611A1C" w:rsidRPr="005F3F69" w:rsidRDefault="00611A1C" w:rsidP="00070765">
      <w:pPr>
        <w:spacing w:after="120" w:line="360" w:lineRule="auto"/>
        <w:ind w:left="567" w:right="1695"/>
        <w:rPr>
          <w:rFonts w:ascii="Arial" w:eastAsia="Arial" w:hAnsi="Arial" w:cs="Arial"/>
          <w:lang w:val="en-GB"/>
        </w:rPr>
      </w:pPr>
    </w:p>
    <w:p w14:paraId="2521F509" w14:textId="77777777" w:rsidR="00611A1C" w:rsidRPr="005F3F69" w:rsidRDefault="00611A1C" w:rsidP="00070765">
      <w:pPr>
        <w:spacing w:after="120" w:line="360" w:lineRule="auto"/>
        <w:ind w:left="567" w:right="1695"/>
        <w:rPr>
          <w:rFonts w:ascii="Arial" w:eastAsia="Arial" w:hAnsi="Arial" w:cs="Arial"/>
          <w:lang w:val="en-GB"/>
        </w:rPr>
      </w:pPr>
    </w:p>
    <w:p w14:paraId="38612CE9" w14:textId="77777777" w:rsidR="00473E35" w:rsidRPr="005F3F69" w:rsidRDefault="00473E35" w:rsidP="00473E35">
      <w:pPr>
        <w:tabs>
          <w:tab w:val="left" w:pos="3550"/>
        </w:tabs>
        <w:spacing w:line="360" w:lineRule="auto"/>
        <w:ind w:left="567" w:right="2262"/>
        <w:rPr>
          <w:rFonts w:ascii="Arial" w:hAnsi="Arial" w:cs="Arial"/>
          <w:b/>
          <w:bCs/>
          <w:color w:val="808080" w:themeColor="background1" w:themeShade="80"/>
          <w:sz w:val="20"/>
          <w:szCs w:val="20"/>
          <w:lang w:val="en-GB"/>
        </w:rPr>
      </w:pPr>
      <w:r w:rsidRPr="005F3F69">
        <w:rPr>
          <w:rFonts w:ascii="Arial" w:hAnsi="Arial"/>
          <w:b/>
          <w:color w:val="808080" w:themeColor="background1" w:themeShade="80"/>
          <w:sz w:val="20"/>
          <w:lang w:val="en-GB"/>
        </w:rPr>
        <w:t>About AMAZONE</w:t>
      </w:r>
    </w:p>
    <w:p w14:paraId="0304B180" w14:textId="77777777" w:rsidR="00473E35" w:rsidRPr="00E12CE4" w:rsidRDefault="00473E35" w:rsidP="00473E35">
      <w:pPr>
        <w:tabs>
          <w:tab w:val="left" w:pos="3550"/>
        </w:tabs>
        <w:spacing w:line="360" w:lineRule="auto"/>
        <w:ind w:left="567" w:right="2262"/>
        <w:rPr>
          <w:rFonts w:ascii="Arial" w:hAnsi="Arial" w:cs="Arial"/>
          <w:bCs/>
          <w:color w:val="808080" w:themeColor="background1" w:themeShade="80"/>
          <w:sz w:val="20"/>
          <w:szCs w:val="20"/>
        </w:rPr>
      </w:pPr>
      <w:r w:rsidRPr="005F3F69">
        <w:rPr>
          <w:rFonts w:ascii="Arial" w:hAnsi="Arial"/>
          <w:color w:val="808080" w:themeColor="background1" w:themeShade="80"/>
          <w:sz w:val="20"/>
          <w:lang w:val="en-GB"/>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6" w:history="1">
        <w:r>
          <w:rPr>
            <w:rStyle w:val="Hyperlink"/>
            <w:rFonts w:ascii="Arial" w:hAnsi="Arial"/>
            <w:sz w:val="20"/>
          </w:rPr>
          <w:t>www.amazone.net</w:t>
        </w:r>
      </w:hyperlink>
    </w:p>
    <w:p w14:paraId="252D2E94" w14:textId="7E37E8A0" w:rsidR="00A46482" w:rsidRDefault="00473E35" w:rsidP="00473E35">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en-GB" w:eastAsia="en-GB"/>
        </w:rPr>
        <w:drawing>
          <wp:inline distT="0" distB="0" distL="0" distR="0" wp14:anchorId="182C801B" wp14:editId="7E3B4C78">
            <wp:extent cx="241300" cy="241300"/>
            <wp:effectExtent l="0" t="0" r="6350" b="6350"/>
            <wp:docPr id="13" name="Grafik 13"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en-GB" w:eastAsia="en-GB"/>
        </w:rPr>
        <w:drawing>
          <wp:inline distT="0" distB="0" distL="0" distR="0" wp14:anchorId="43F18E6E" wp14:editId="24F1EF19">
            <wp:extent cx="241300" cy="241300"/>
            <wp:effectExtent l="0" t="0" r="6350" b="6350"/>
            <wp:docPr id="12" name="Grafik 12"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en-GB" w:eastAsia="en-GB"/>
        </w:rPr>
        <w:drawing>
          <wp:inline distT="0" distB="0" distL="0" distR="0" wp14:anchorId="706E6374" wp14:editId="55EA3D05">
            <wp:extent cx="241300" cy="241300"/>
            <wp:effectExtent l="0" t="0" r="6350" b="6350"/>
            <wp:docPr id="11" name="Grafik 11"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en-GB" w:eastAsia="en-GB"/>
        </w:rPr>
        <w:drawing>
          <wp:inline distT="0" distB="0" distL="0" distR="0" wp14:anchorId="1633C79B" wp14:editId="5B7D302B">
            <wp:extent cx="241300" cy="241300"/>
            <wp:effectExtent l="0" t="0" r="6350" b="6350"/>
            <wp:docPr id="10" name="Grafik 10"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en-GB" w:eastAsia="en-GB"/>
        </w:rPr>
        <w:drawing>
          <wp:inline distT="0" distB="0" distL="0" distR="0" wp14:anchorId="6CADB790" wp14:editId="5F67F643">
            <wp:extent cx="241300" cy="241300"/>
            <wp:effectExtent l="0" t="0" r="6350" b="6350"/>
            <wp:docPr id="7" name="Grafik 7"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4422DF">
      <w:headerReference w:type="default" r:id="rId32"/>
      <w:footerReference w:type="default" r:id="rId33"/>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C5B1AB" w14:textId="77777777" w:rsidR="008972A5" w:rsidRDefault="008972A5">
      <w:r>
        <w:separator/>
      </w:r>
    </w:p>
  </w:endnote>
  <w:endnote w:type="continuationSeparator" w:id="0">
    <w:p w14:paraId="2E13F77C" w14:textId="77777777" w:rsidR="008972A5" w:rsidRDefault="008972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ooter"/>
      <w:tabs>
        <w:tab w:val="clear" w:pos="4536"/>
        <w:tab w:val="clear" w:pos="9072"/>
        <w:tab w:val="left" w:pos="3138"/>
      </w:tabs>
    </w:pPr>
    <w:r>
      <w:rPr>
        <w:noProof/>
        <w:szCs w:val="20"/>
        <w:lang w:val="en-GB" w:eastAsia="en-GB"/>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00DBA5A5" w:rsidR="005E0980" w:rsidRPr="0093254A" w:rsidRDefault="00EB65CD"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6446E9">
                            <w:rPr>
                              <w:rFonts w:ascii="Arial" w:hAnsi="Arial"/>
                              <w:noProof/>
                              <w:sz w:val="20"/>
                            </w:rPr>
                            <w:t>7</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of</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6446E9">
                            <w:rPr>
                              <w:rFonts w:ascii="Arial" w:hAnsi="Arial"/>
                              <w:noProof/>
                              <w:sz w:val="20"/>
                            </w:rPr>
                            <w:t>7</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00DBA5A5" w:rsidR="005E0980" w:rsidRPr="0093254A" w:rsidRDefault="00EB65CD"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6446E9">
                      <w:rPr>
                        <w:rFonts w:ascii="Arial" w:hAnsi="Arial"/>
                        <w:noProof/>
                        <w:sz w:val="20"/>
                      </w:rPr>
                      <w:t>7</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of</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6446E9">
                      <w:rPr>
                        <w:rFonts w:ascii="Arial" w:hAnsi="Arial"/>
                        <w:noProof/>
                        <w:sz w:val="20"/>
                      </w:rPr>
                      <w:t>7</w:t>
                    </w:r>
                    <w:r w:rsidR="005E0980" w:rsidRPr="0093254A">
                      <w:rPr>
                        <w:rFonts w:ascii="Arial" w:hAnsi="Arial"/>
                        <w:sz w:val="20"/>
                      </w:rPr>
                      <w:fldChar w:fldCharType="end"/>
                    </w:r>
                  </w:p>
                </w:txbxContent>
              </v:textbox>
            </v:shape>
          </w:pict>
        </mc:Fallback>
      </mc:AlternateContent>
    </w:r>
    <w:r>
      <w:rPr>
        <w:noProof/>
        <w:szCs w:val="20"/>
        <w:lang w:val="en-GB" w:eastAsia="en-GB"/>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lang w:val="en-GB" w:eastAsia="en-GB"/>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lang w:val="en-GB" w:eastAsia="en-GB"/>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FA1594" w14:textId="77777777" w:rsidR="00EB65CD" w:rsidRPr="0093254A" w:rsidRDefault="00EB65CD" w:rsidP="00EB65CD">
                          <w:pPr>
                            <w:spacing w:line="280" w:lineRule="exact"/>
                            <w:rPr>
                              <w:rFonts w:ascii="Arial" w:hAnsi="Arial"/>
                              <w:spacing w:val="2"/>
                              <w:sz w:val="20"/>
                            </w:rPr>
                          </w:pPr>
                          <w:bookmarkStart w:id="1" w:name="OLE_LINK1"/>
                          <w:bookmarkStart w:id="2" w:name="OLE_LINK2"/>
                          <w:bookmarkStart w:id="3" w:name="_Hlk84516768"/>
                          <w:r>
                            <w:rPr>
                              <w:rFonts w:ascii="Arial" w:hAnsi="Arial"/>
                              <w:sz w:val="20"/>
                            </w:rPr>
                            <w:t>AMAZONEN-WERKE H. DREYER SE &amp; Co. KG ∙ Am Amazonenwerk 9–13 ∙ 49205 Hasbergen-Gaste, Germany</w:t>
                          </w:r>
                        </w:p>
                        <w:p w14:paraId="3C1AAE13" w14:textId="77777777" w:rsidR="00EB65CD" w:rsidRPr="005F3F69" w:rsidRDefault="00EB65CD" w:rsidP="00EB65CD">
                          <w:pPr>
                            <w:spacing w:line="280" w:lineRule="exact"/>
                            <w:rPr>
                              <w:rFonts w:ascii="Arial" w:hAnsi="Arial"/>
                              <w:spacing w:val="2"/>
                              <w:sz w:val="20"/>
                              <w:lang w:val="en-GB"/>
                            </w:rPr>
                          </w:pPr>
                          <w:r w:rsidRPr="005F3F69">
                            <w:rPr>
                              <w:rFonts w:ascii="Arial" w:hAnsi="Arial"/>
                              <w:sz w:val="20"/>
                              <w:lang w:val="en-GB"/>
                            </w:rPr>
                            <w:t>Telephone +49 (0)5405 501-0 ∙ amazone@amazone.de ∙ www.amazone.net</w:t>
                          </w:r>
                          <w:bookmarkEnd w:id="1"/>
                          <w:bookmarkEnd w:id="2"/>
                          <w:bookmarkEnd w:id="3"/>
                        </w:p>
                        <w:p w14:paraId="60FD3ABD" w14:textId="0F8A9EC8" w:rsidR="005E0980" w:rsidRPr="005F3F69"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53FA1594" w14:textId="77777777" w:rsidR="00EB65CD" w:rsidRPr="0093254A" w:rsidRDefault="00EB65CD" w:rsidP="00EB65CD">
                    <w:pPr>
                      <w:spacing w:line="280" w:lineRule="exact"/>
                      <w:rPr>
                        <w:rFonts w:ascii="Arial" w:hAnsi="Arial"/>
                        <w:spacing w:val="2"/>
                        <w:sz w:val="20"/>
                      </w:rPr>
                    </w:pPr>
                    <w:bookmarkStart w:id="4" w:name="OLE_LINK1"/>
                    <w:bookmarkStart w:id="5" w:name="OLE_LINK2"/>
                    <w:bookmarkStart w:id="6" w:name="_Hlk84516768"/>
                    <w:r>
                      <w:rPr>
                        <w:rFonts w:ascii="Arial" w:hAnsi="Arial"/>
                        <w:sz w:val="20"/>
                      </w:rPr>
                      <w:t>AMAZONEN-WERKE H. DREYER SE &amp; Co. KG ∙ Am Amazonenwerk 9–13 ∙ 49205 Hasbergen-Gaste, Germany</w:t>
                    </w:r>
                  </w:p>
                  <w:p w14:paraId="3C1AAE13" w14:textId="77777777" w:rsidR="00EB65CD" w:rsidRPr="005F3F69" w:rsidRDefault="00EB65CD" w:rsidP="00EB65CD">
                    <w:pPr>
                      <w:spacing w:line="280" w:lineRule="exact"/>
                      <w:rPr>
                        <w:rFonts w:ascii="Arial" w:hAnsi="Arial"/>
                        <w:spacing w:val="2"/>
                        <w:sz w:val="20"/>
                        <w:lang w:val="en-GB"/>
                      </w:rPr>
                    </w:pPr>
                    <w:r w:rsidRPr="005F3F69">
                      <w:rPr>
                        <w:rFonts w:ascii="Arial" w:hAnsi="Arial"/>
                        <w:sz w:val="20"/>
                        <w:lang w:val="en-GB"/>
                      </w:rPr>
                      <w:t>Telephone +49 (0)5405 501-0 ∙ amazone@amazone.de ∙ www.amazone.net</w:t>
                    </w:r>
                    <w:bookmarkEnd w:id="4"/>
                    <w:bookmarkEnd w:id="5"/>
                    <w:bookmarkEnd w:id="6"/>
                  </w:p>
                  <w:p w14:paraId="60FD3ABD" w14:textId="0F8A9EC8" w:rsidR="005E0980" w:rsidRPr="005F3F69"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312958" w14:textId="77777777" w:rsidR="008972A5" w:rsidRDefault="008972A5">
      <w:r>
        <w:separator/>
      </w:r>
    </w:p>
  </w:footnote>
  <w:footnote w:type="continuationSeparator" w:id="0">
    <w:p w14:paraId="5D65067A" w14:textId="77777777" w:rsidR="008972A5" w:rsidRDefault="008972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Header"/>
    </w:pPr>
    <w:r w:rsidRPr="00BC65EA">
      <w:rPr>
        <w:noProof/>
        <w:lang w:val="en-GB" w:eastAsia="en-GB"/>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CACF425" w:rsidR="00E81D17" w:rsidRPr="002804E4" w:rsidRDefault="004422DF" w:rsidP="00E81D17">
                          <w:pPr>
                            <w:pStyle w:val="NormalWeb"/>
                            <w:spacing w:after="0" w:afterAutospacing="0"/>
                            <w:jc w:val="right"/>
                            <w:rPr>
                              <w:b/>
                              <w:bCs/>
                              <w:color w:val="FFFFFF" w:themeColor="background1"/>
                              <w:sz w:val="18"/>
                              <w:szCs w:val="18"/>
                            </w:rPr>
                          </w:pPr>
                          <w:r>
                            <w:rPr>
                              <w:rFonts w:ascii="Arial" w:hAnsi="Arial" w:cs="Arial"/>
                              <w:b/>
                              <w:bCs/>
                              <w:color w:val="FFFFFF" w:themeColor="background1"/>
                              <w:kern w:val="24"/>
                              <w:sz w:val="18"/>
                              <w:szCs w:val="18"/>
                            </w:rPr>
                            <w:t>Press Release December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CACF425" w:rsidR="00E81D17" w:rsidRPr="002804E4" w:rsidRDefault="004422DF" w:rsidP="00E81D17">
                    <w:pPr>
                      <w:pStyle w:val="StandardWeb"/>
                      <w:spacing w:after="0" w:afterAutospacing="0"/>
                      <w:jc w:val="right"/>
                      <w:rPr>
                        <w:b/>
                        <w:bCs/>
                        <w:color w:val="FFFFFF" w:themeColor="background1"/>
                        <w:sz w:val="18"/>
                        <w:szCs w:val="18"/>
                      </w:rPr>
                    </w:pPr>
                    <w:r>
                      <w:rPr>
                        <w:rFonts w:ascii="Arial" w:hAnsi="Arial" w:cs="Arial"/>
                        <w:b/>
                        <w:bCs/>
                        <w:color w:val="FFFFFF" w:themeColor="background1"/>
                        <w:kern w:val="24"/>
                        <w:sz w:val="18"/>
                        <w:szCs w:val="18"/>
                      </w:rPr>
                      <w:t xml:space="preserve">Press Release </w:t>
                    </w:r>
                    <w:proofErr w:type="spellStart"/>
                    <w:r>
                      <w:rPr>
                        <w:rFonts w:ascii="Arial" w:hAnsi="Arial" w:cs="Arial"/>
                        <w:b/>
                        <w:bCs/>
                        <w:color w:val="FFFFFF" w:themeColor="background1"/>
                        <w:kern w:val="24"/>
                        <w:sz w:val="18"/>
                        <w:szCs w:val="18"/>
                      </w:rPr>
                      <w:t>December</w:t>
                    </w:r>
                    <w:proofErr w:type="spellEnd"/>
                    <w:r>
                      <w:rPr>
                        <w:rFonts w:ascii="Arial" w:hAnsi="Arial" w:cs="Arial"/>
                        <w:b/>
                        <w:bCs/>
                        <w:color w:val="FFFFFF" w:themeColor="background1"/>
                        <w:kern w:val="24"/>
                        <w:sz w:val="18"/>
                        <w:szCs w:val="18"/>
                      </w:rPr>
                      <w:t xml:space="preserve"> 2021</w:t>
                    </w:r>
                  </w:p>
                </w:txbxContent>
              </v:textbox>
              <w10:wrap anchorx="margin"/>
            </v:rect>
          </w:pict>
        </mc:Fallback>
      </mc:AlternateContent>
    </w:r>
    <w:r w:rsidRPr="00E81D17">
      <w:rPr>
        <w:noProof/>
        <w:lang w:val="en-GB" w:eastAsia="en-GB"/>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lang w:val="en-GB" w:eastAsia="en-GB"/>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lang w:val="en-GB" w:eastAsia="en-GB"/>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5AF1680"/>
    <w:multiLevelType w:val="hybridMultilevel"/>
    <w:tmpl w:val="D57ECA04"/>
    <w:lvl w:ilvl="0" w:tplc="04070001">
      <w:start w:val="1"/>
      <w:numFmt w:val="bullet"/>
      <w:lvlText w:val=""/>
      <w:lvlJc w:val="left"/>
      <w:pPr>
        <w:ind w:left="1287" w:hanging="360"/>
      </w:pPr>
      <w:rPr>
        <w:rFonts w:ascii="Symbol" w:hAnsi="Symbol" w:hint="default"/>
      </w:rPr>
    </w:lvl>
    <w:lvl w:ilvl="1" w:tplc="8062A152">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3E"/>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1C27"/>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4F5E"/>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2DF"/>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3E35"/>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3F69"/>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6E9"/>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CC5"/>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2A5"/>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39E"/>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C1B"/>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0F67"/>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52F"/>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B65CD"/>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EA5"/>
    <w:rsid w:val="00F8079B"/>
    <w:rsid w:val="00F80F29"/>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269E"/>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F0552B"/>
    <w:rPr>
      <w:rFonts w:ascii="Lucida Grande" w:hAnsi="Lucida Grande"/>
      <w:sz w:val="18"/>
      <w:szCs w:val="18"/>
    </w:rPr>
  </w:style>
  <w:style w:type="paragraph" w:styleId="Header">
    <w:name w:val="header"/>
    <w:basedOn w:val="Normal"/>
    <w:rsid w:val="00583760"/>
    <w:pPr>
      <w:tabs>
        <w:tab w:val="center" w:pos="4536"/>
        <w:tab w:val="right" w:pos="9072"/>
      </w:tabs>
    </w:pPr>
  </w:style>
  <w:style w:type="paragraph" w:styleId="Footer">
    <w:name w:val="footer"/>
    <w:basedOn w:val="Normal"/>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NormalWeb">
    <w:name w:val="Normal (Web)"/>
    <w:basedOn w:val="Normal"/>
    <w:uiPriority w:val="99"/>
    <w:rsid w:val="00D909EB"/>
    <w:pPr>
      <w:spacing w:after="100" w:afterAutospacing="1"/>
    </w:pPr>
    <w:rPr>
      <w:rFonts w:ascii="Times New Roman" w:hAnsi="Times New Roman"/>
    </w:rPr>
  </w:style>
  <w:style w:type="table" w:customStyle="1" w:styleId="Tabellengitternetz">
    <w:name w:val="Tabellengitternetz"/>
    <w:basedOn w:val="TableNormal"/>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5E2376"/>
    <w:rPr>
      <w:sz w:val="16"/>
      <w:szCs w:val="16"/>
    </w:rPr>
  </w:style>
  <w:style w:type="paragraph" w:styleId="CommentText">
    <w:name w:val="annotation text"/>
    <w:basedOn w:val="Normal"/>
    <w:link w:val="CommentTextChar"/>
    <w:semiHidden/>
    <w:rsid w:val="005E2376"/>
    <w:rPr>
      <w:sz w:val="20"/>
      <w:szCs w:val="20"/>
    </w:rPr>
  </w:style>
  <w:style w:type="paragraph" w:styleId="CommentSubject">
    <w:name w:val="annotation subject"/>
    <w:basedOn w:val="CommentText"/>
    <w:next w:val="Comment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FollowedHyperlink">
    <w:name w:val="FollowedHyperlink"/>
    <w:uiPriority w:val="99"/>
    <w:semiHidden/>
    <w:unhideWhenUsed/>
    <w:rsid w:val="005D4A16"/>
    <w:rPr>
      <w:color w:val="800080"/>
      <w:u w:val="single"/>
    </w:rPr>
  </w:style>
  <w:style w:type="character" w:styleId="Emphasis">
    <w:name w:val="Emphasis"/>
    <w:uiPriority w:val="20"/>
    <w:qFormat/>
    <w:rsid w:val="00706A1F"/>
    <w:rPr>
      <w:i/>
      <w:iCs/>
    </w:rPr>
  </w:style>
  <w:style w:type="character" w:customStyle="1" w:styleId="st">
    <w:name w:val="st"/>
    <w:rsid w:val="00706A1F"/>
  </w:style>
  <w:style w:type="paragraph" w:styleId="PlainText">
    <w:name w:val="Plain Text"/>
    <w:basedOn w:val="Normal"/>
    <w:link w:val="PlainTextChar"/>
    <w:uiPriority w:val="99"/>
    <w:semiHidden/>
    <w:unhideWhenUsed/>
    <w:rsid w:val="00C24EF3"/>
    <w:rPr>
      <w:rFonts w:ascii="Calibri" w:eastAsiaTheme="minorHAnsi" w:hAnsi="Calibri"/>
      <w:sz w:val="22"/>
      <w:szCs w:val="22"/>
      <w:lang w:eastAsia="en-US"/>
    </w:rPr>
  </w:style>
  <w:style w:type="character" w:customStyle="1" w:styleId="PlainTextChar">
    <w:name w:val="Plain Text Char"/>
    <w:basedOn w:val="DefaultParagraphFont"/>
    <w:link w:val="PlainText"/>
    <w:uiPriority w:val="99"/>
    <w:semiHidden/>
    <w:rsid w:val="00C24EF3"/>
    <w:rPr>
      <w:rFonts w:ascii="Calibri" w:eastAsiaTheme="minorHAnsi" w:hAnsi="Calibri"/>
      <w:sz w:val="22"/>
      <w:szCs w:val="22"/>
      <w:lang w:eastAsia="en-US"/>
    </w:rPr>
  </w:style>
  <w:style w:type="character" w:styleId="Strong">
    <w:name w:val="Strong"/>
    <w:basedOn w:val="DefaultParagraphFont"/>
    <w:uiPriority w:val="22"/>
    <w:qFormat/>
    <w:rsid w:val="00371B65"/>
    <w:rPr>
      <w:b/>
      <w:bCs/>
    </w:rPr>
  </w:style>
  <w:style w:type="character" w:customStyle="1" w:styleId="CommentTextChar">
    <w:name w:val="Comment Text Char"/>
    <w:basedOn w:val="DefaultParagraphFont"/>
    <w:link w:val="CommentText"/>
    <w:semiHidden/>
    <w:rsid w:val="0012269E"/>
  </w:style>
  <w:style w:type="paragraph" w:styleId="ListParagraph">
    <w:name w:val="List Paragraph"/>
    <w:basedOn w:val="Normal"/>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5957BB-81C0-4646-BCCA-D8F1BF3C8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937</Words>
  <Characters>5347</Characters>
  <Application>Microsoft Office Word</Application>
  <DocSecurity>0</DocSecurity>
  <Lines>44</Lines>
  <Paragraphs>12</Paragraphs>
  <ScaleCrop>false</ScaleCrop>
  <HeadingPairs>
    <vt:vector size="6" baseType="variant">
      <vt:variant>
        <vt:lpstr>Title</vt:lpstr>
      </vt:variant>
      <vt:variant>
        <vt:i4>1</vt:i4>
      </vt:variant>
      <vt:variant>
        <vt:lpstr>Titel</vt:lpstr>
      </vt:variant>
      <vt:variant>
        <vt:i4>1</vt:i4>
      </vt:variant>
      <vt:variant>
        <vt:lpstr>Название</vt:lpstr>
      </vt:variant>
      <vt:variant>
        <vt:i4>1</vt:i4>
      </vt:variant>
    </vt:vector>
  </HeadingPairs>
  <TitlesOfParts>
    <vt:vector size="3" baseType="lpstr">
      <vt:lpstr>PI Amazone Jahresbericht 2008</vt:lpstr>
      <vt:lpstr>PI Amazone Jahresbericht 2008</vt:lpstr>
      <vt:lpstr>PI Amazone Jahresbericht 2008</vt:lpstr>
    </vt:vector>
  </TitlesOfParts>
  <LinksUpToDate>false</LinksUpToDate>
  <CharactersWithSpaces>6272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2021-12-14T09:31:00Z</dcterms:created>
  <dcterms:modified xsi:type="dcterms:W3CDTF">2021-12-14T09:31:00Z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-722769049</vt:i4>
  </property>
  <property fmtid="{D5CDD505-2E9C-101B-9397-08002B2CF9AE}" pid="4" name="_PreviousAdHocReviewCycleID">
    <vt:i4>-456042617</vt:i4>
  </property>
</Properties>
</file>