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D2C24D8" w14:textId="3B320167" w:rsidR="008A5EF3" w:rsidRDefault="00FA1518" w:rsidP="00BA12F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pict w14:anchorId="545AF6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91.45pt;margin-top:-31pt;width:99.8pt;height:99.8pt;z-index:-251658752;mso-position-horizontal-relative:text;mso-position-vertical-relative:text">
            <v:imagedata r:id="rId8" o:title="Silber-Medaillen"/>
          </v:shape>
        </w:pict>
      </w:r>
      <w:r w:rsidR="006D004B">
        <w:rPr>
          <w:rFonts w:ascii="Arial" w:hAnsi="Arial"/>
          <w:b/>
          <w:sz w:val="28"/>
        </w:rPr>
        <w:t>Srebrny medal Targów Agritechnica dla AMAZONE:</w:t>
      </w:r>
      <w:r w:rsidR="006D004B">
        <w:rPr>
          <w:rFonts w:ascii="Arial" w:hAnsi="Arial"/>
          <w:b/>
          <w:sz w:val="28"/>
        </w:rPr>
        <w:br/>
        <w:t>Zasilanie bezpośrednie DirectInject</w:t>
      </w:r>
    </w:p>
    <w:p w14:paraId="604A2DB9" w14:textId="77777777" w:rsidR="00BA12F1" w:rsidRDefault="00BA12F1" w:rsidP="00BA12F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658729" w14:textId="006EF177" w:rsidR="003F2974" w:rsidRDefault="00BA12F1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Komisja innowacji DLG (Niemieckiego Towarzystwa Rolniczego) ogłosiła laureatów nagrody Innovation Award Agritechnica 2022. Firma AMAZONE została wyróżniona srebrnym medalem za nowy system bezpośredniego zasilania DirectInject. DirectInject umożliwia szybkie, elastyczne i zależne od zapotrzebowania dodawanie środków ochrony roślin podczas oprysku.</w:t>
      </w:r>
    </w:p>
    <w:p w14:paraId="1107B98F" w14:textId="77777777" w:rsidR="00863D84" w:rsidRDefault="00863D84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4638DF" w14:textId="1FC4BE85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Wymagania w zakresie ochrony roślin stawiane rolnikom i sprzętowi stale rosną. Ważnym punktem jest tu elastyczność wyboru środków ochrony roślin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polu. Z punktu widzenia upraw często konieczne jest reagowanie specyficznymi produktami i środkami jedynie w konkretnych, wydzielonych obszarach. Istnieją też różne obowiązki związane z chronionymi strukturami i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wodami powierzchniowymi, które rolnik musi uwzględniać wybierając środki ochrony roślin. Wymagania te dotyczą elastyczności w ochronie roślin i stoją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sprzeczności z rozwojem strukturalnym w kierunku opryskiwaczy polowych o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wyższej wydajności powierzchniowej oraz bardziej ekonomicznej pracy.</w:t>
      </w:r>
    </w:p>
    <w:p w14:paraId="36D96809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3E953A" w14:textId="33008ACB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Budowa systemu</w:t>
      </w:r>
    </w:p>
    <w:p w14:paraId="17EFB2BB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poprzez System DirectInject po raz pierwszy wprowadza na rynek system bezpośredniego dozowania środków ochrony roślin rozwiązujący opisany konflikt interesów. Środki ochrony roślin można dozować lub nie podczas aplikacji, w zależności od zapotrzebowania. Szczegółową cechą DirectInject w porównaniu z konwencjonalnymi systemami jest szybki czas reakcji w procesie zasilania i kompletna integracja z obiegiem cieczy roboczej oraz systemem obsługi opryskiwacza polowego. </w:t>
      </w:r>
    </w:p>
    <w:p w14:paraId="61A86F8C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Dzięki DirectInject można reagować indywidualnie w określonych miejscach na potrzeby uprawianej rośliny, jak również oszczędzić na środkach ochrony roślin </w:t>
      </w:r>
      <w:r>
        <w:rPr>
          <w:rFonts w:ascii="Arial" w:hAnsi="Arial"/>
        </w:rPr>
        <w:lastRenderedPageBreak/>
        <w:t>i dodatkowych przejazdach opryskiwaczem polowym. Pozwala to zaoszczędzić czas, koszty i troszczyć się o środowisko.</w:t>
      </w:r>
    </w:p>
    <w:p w14:paraId="15CC2FDE" w14:textId="388419F4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DirectInject składa się z dodatkowego zbiornika mieszczącego 50 l z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odpowiednią techniką dozowania, umieszczonego z prawej strony maszyny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schowku opryskiwacza UX 01 Super. Dzięki temu zbiornik jest bardzo łatwo dostępny i bezpieczny do napełnienia. Dzięki integracji komponentów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 xml:space="preserve">schowku wszystkie podzespoły są ponadto optymalnie zabezpieczone. </w:t>
      </w:r>
    </w:p>
    <w:p w14:paraId="3DC552BF" w14:textId="5B01D123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Wielką zaletą tej technologii jest to, że DirectInject może pracować z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nierozcieńczonym środkiem ochrony roślin. Mieszadło mechaniczne gwarantuje, że środki ochrony roślin mające tendencję do rozwarstwiania się są utrzymywane w stanie jednorodnym.</w:t>
      </w:r>
    </w:p>
    <w:p w14:paraId="7D0C944F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F6F580" w14:textId="5604465F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Stosowanie w polu</w:t>
      </w:r>
    </w:p>
    <w:p w14:paraId="1B81BC6C" w14:textId="5B15E939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Jeżeli operator opryskiwacza polowego np. na określonej powierzchni stwierdzi, że znajdują się tam niepożądane chwasty, może on aktywować dozowanie DirectInject naciskając przycisk w kabinie. Do cieczy roboczej ze zbiornika głównego jest wtedy dozowany dodatkowy produkt ze zbiornika DirectInject. Dwuprzewodowy system rozwiązuje problem optymalnej reakcji występujący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systemach konwencjonalnych. W drugim przewodzie cieczy w belce polowej znajduje się wstępnie zmieszana ciecz robocza ze zbiornika głównego oraz środka ochrony roślin ze zbiornika DirectInject. Po aktywacji wtrysku bezpośredniego mieszanka jest dozowana przez wiele miejsc zasilania w belce polowej poprzez korpusy z rozpylaczami. Te krótkie drogi cieczy bezpośrednio w belce polowej prowadzą do krótkich czasów reakcji na polu. Dzięki wysokociśnieniowej cyrkulacji DUS pro ciecz robocza w przewodzie ma zawsze wyregulowane ciśnienie oprysku, nawet gdy rozpylacze są zamknięte. Po włączeniu bezpośredniego zasilania cyrkulacja ta zostaje zamknięta, dzięki czemu ciecz robocza ze zbiornika głównego nie miesza się z produktem ze zbiornika DirectInject.</w:t>
      </w:r>
    </w:p>
    <w:p w14:paraId="62B28F99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55700D" w14:textId="5B262DA9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>Resztki i mycie</w:t>
      </w:r>
    </w:p>
    <w:p w14:paraId="3AB8A686" w14:textId="27BB88BD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Ze względu na to, że DirectInject może wykorzystywać nierozcieńczony środek ochrony roślin, ilości niewykorzystane po aplikacji można odprowadzić z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powrotem do oryginalnych pojemników. Przed aplikacją nie trzeba więc wiedzieć, ile środka ochrony roślin faktycznie będzie potrzebne, ani też nie trzeba utylizować zmieszanych pozostałości cieczy.</w:t>
      </w:r>
    </w:p>
    <w:p w14:paraId="58D929A3" w14:textId="0A5F01A9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 aplikacji można umyć cały system w sposób zautomatyzowany i zdalny z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kabiny ciągnika. W tym celu wszystkie komponenty zostały zintegrowane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pakiecie Comfort opryskiwacza polowego. Daje to użytkownikowi odpowiedni poziom bezpieczeństwa i pozwala zaoszczędzić czas.</w:t>
      </w:r>
    </w:p>
    <w:p w14:paraId="1E1F2C95" w14:textId="5860AB84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Rolnicy korzystający z DirectInject chwalą go za to, że teraz mogą dużo elastyczniej reagować stosując ochronę roślin na wydzielonych polach i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obszarach. Tam, gdzie wcześniej niemożliwa była zróżnicowana i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natychmiastowa aplikacja, można zareagować podczas jednego przejazdu roboczego. Rezultat to optymalny stan upraw oraz oszczędność czasu i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środków ochrony roślin.</w:t>
      </w:r>
    </w:p>
    <w:p w14:paraId="4C3FE444" w14:textId="3371D861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System bezpośredniego zasilania DirectInject może być stosowany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jednoosiowych opryskiwaczach UX 01 z seryjną komunikacją ISOBUS oraz systemem indywidualnego przełączania rozpylaczy AmaSwitch lub AmaSelect z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wysokociśnieniowym systemem cyrkulacji DUS pro.</w:t>
      </w:r>
    </w:p>
    <w:p w14:paraId="0679C9A4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B7067D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Zalety systemu:</w:t>
      </w:r>
    </w:p>
    <w:p w14:paraId="5CA235DA" w14:textId="77777777" w:rsidR="008A5EF3" w:rsidRPr="008A5EF3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Elastyczne, szybkie i odpowiadające zapotrzebowaniu stosowanie środka ochrony roślin</w:t>
      </w:r>
    </w:p>
    <w:p w14:paraId="1A05FCFF" w14:textId="77777777" w:rsidR="00611A1C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Oszczędność: </w:t>
      </w:r>
    </w:p>
    <w:p w14:paraId="4E2AB3DC" w14:textId="44C37901" w:rsidR="008A5EF3" w:rsidRPr="008A5EF3" w:rsidRDefault="008A5EF3" w:rsidP="00611A1C">
      <w:pPr>
        <w:pStyle w:val="Listenabsatz"/>
        <w:spacing w:after="120" w:line="360" w:lineRule="auto"/>
        <w:ind w:left="1287" w:right="1695"/>
        <w:rPr>
          <w:rFonts w:ascii="Arial" w:eastAsia="Arial" w:hAnsi="Arial" w:cs="Arial"/>
        </w:rPr>
      </w:pPr>
      <w:r>
        <w:rPr>
          <w:rFonts w:ascii="Arial" w:hAnsi="Arial"/>
        </w:rPr>
        <w:t>– czasu i kosztów pracy</w:t>
      </w:r>
      <w:r>
        <w:rPr>
          <w:rFonts w:ascii="Arial" w:hAnsi="Arial"/>
        </w:rPr>
        <w:br/>
        <w:t>– kosztów maszyn</w:t>
      </w:r>
      <w:r>
        <w:rPr>
          <w:rFonts w:ascii="Arial" w:hAnsi="Arial"/>
        </w:rPr>
        <w:br/>
        <w:t>– środków ochrony roślin</w:t>
      </w:r>
    </w:p>
    <w:p w14:paraId="1C8DA836" w14:textId="77777777" w:rsidR="008A5EF3" w:rsidRPr="008A5EF3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Optymalny stan upraw</w:t>
      </w:r>
    </w:p>
    <w:p w14:paraId="5980F6B1" w14:textId="7E4503AC" w:rsidR="003F2974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Ochrona środowiska</w:t>
      </w:r>
    </w:p>
    <w:p w14:paraId="36C863FE" w14:textId="6FD817DD" w:rsidR="00563773" w:rsidRDefault="003F2974" w:rsidP="003F2974">
      <w:pPr>
        <w:ind w:left="567"/>
        <w:rPr>
          <w:rFonts w:ascii="Arial" w:eastAsia="Arial" w:hAnsi="Arial" w:cs="Arial"/>
        </w:rPr>
      </w:pPr>
      <w:r>
        <w:br w:type="page"/>
      </w: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0A1E9E2E" wp14:editId="72A588DA">
            <wp:extent cx="3475620" cy="2879999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5620" cy="28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B8396" w14:textId="038F980A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Wyposażenie DirectInject ze zbiornikiem 50 l i pompą w schowku UX 01 Super</w:t>
      </w:r>
    </w:p>
    <w:p w14:paraId="15948414" w14:textId="0387F754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27F569" w14:textId="77777777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CE7B96" w14:textId="21FE70D9" w:rsidR="00611A1C" w:rsidRDefault="00611A1C" w:rsidP="00611A1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48C2510A" wp14:editId="4B0B1741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5C4B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Aktywacja DirectInject w terminalu AmaTron 4</w:t>
      </w:r>
    </w:p>
    <w:p w14:paraId="4C5D6FFC" w14:textId="40B0CF21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A07063E" w14:textId="5A876FE2" w:rsidR="00563773" w:rsidRDefault="0056377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DC1881" w14:textId="7D6C7905" w:rsidR="00FA1518" w:rsidRDefault="00FA151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7780EFB6" w14:textId="77777777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791CC5" w14:textId="49516A96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372DF19" wp14:editId="78E59D6B">
            <wp:extent cx="6055200" cy="2880000"/>
            <wp:effectExtent l="0" t="0" r="3175" b="3175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Grafik 2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5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4FBD2" w14:textId="77777777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E9D41D" w14:textId="77777777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828578" w14:textId="45260737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EEFA597" wp14:editId="304B94F5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85839" w14:textId="0EF42C3E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Zbiornik DirectInject ze zintegrowanym sitem dla łatwego i bezpiecznego napełniania</w:t>
      </w:r>
    </w:p>
    <w:p w14:paraId="4D8D29F7" w14:textId="3A07EB5E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DD44A5" w14:textId="587B47FB" w:rsidR="00FA1518" w:rsidRDefault="00FA151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10B6459C" w14:textId="62646315" w:rsidR="008A5EF3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4039FD70" wp14:editId="2EBB9066">
            <wp:extent cx="40536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EB9A3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Mieszadło mechaniczne i dysza do mycia zbiornika DirectInject</w:t>
      </w:r>
    </w:p>
    <w:p w14:paraId="7F357D53" w14:textId="24ECDCC3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DDDF23" w14:textId="6C9F6854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723F19" w14:textId="64F8F567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3DEB5233" wp14:editId="2FEBE031">
            <wp:extent cx="4053600" cy="2880000"/>
            <wp:effectExtent l="0" t="0" r="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70E67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Dokładne wprowadzanie dodawanej ilości</w:t>
      </w:r>
    </w:p>
    <w:p w14:paraId="4E2DD585" w14:textId="0F8940DD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8A0BB2" w14:textId="0DEF61FE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8EF4D6" w14:textId="71FA528D" w:rsidR="00FA1518" w:rsidRDefault="00FA151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017206DE" w14:textId="77777777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A53CAB" w14:textId="15FD8086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39384E9A" wp14:editId="31045BBB">
            <wp:extent cx="6120000" cy="2109600"/>
            <wp:effectExtent l="0" t="0" r="1905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B67C8" w14:textId="07047911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Belka polowa jest wyposażona w dwa oddzielne przewody, żółty i zielony, które są przełączane zdalnie</w:t>
      </w:r>
    </w:p>
    <w:p w14:paraId="362E1F02" w14:textId="64A98351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FB2D6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C57CC2" w14:textId="0850169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7F58DB" w14:textId="47806D4D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bookmarkStart w:id="0" w:name="_GoBack"/>
      <w:bookmarkEnd w:id="0"/>
    </w:p>
    <w:p w14:paraId="24EDEF1A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CC86E8" w14:textId="52604214" w:rsidR="00611A1C" w:rsidRDefault="00611A1C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D3E443" w14:textId="48E8C6DD" w:rsidR="00611A1C" w:rsidRDefault="00611A1C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21F509" w14:textId="77777777" w:rsidR="00611A1C" w:rsidRDefault="00611A1C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5FFF29" w14:textId="77777777" w:rsidR="000B601B" w:rsidRPr="00E12CE4" w:rsidRDefault="000B601B" w:rsidP="000B601B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67CCBFB4" w14:textId="59A5B5A0" w:rsidR="000B601B" w:rsidRPr="00E12CE4" w:rsidRDefault="000B601B" w:rsidP="000B601B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około 1900 osób w dziewięciu różnych zakładach produkcyjnych w</w:t>
      </w:r>
      <w:r w:rsidR="00090904">
        <w:rPr>
          <w:rFonts w:ascii="Arial" w:hAnsi="Arial"/>
          <w:color w:val="808080" w:themeColor="background1" w:themeShade="80"/>
          <w:sz w:val="20"/>
        </w:rPr>
        <w:t> </w:t>
      </w:r>
      <w:r>
        <w:rPr>
          <w:rFonts w:ascii="Arial" w:hAnsi="Arial"/>
          <w:color w:val="808080" w:themeColor="background1" w:themeShade="80"/>
          <w:sz w:val="20"/>
        </w:rPr>
        <w:t xml:space="preserve">Niemczech, Francji, Rosji i na Węgrzech.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Więcej informacji: </w:t>
      </w:r>
      <w:hyperlink r:id="rId16" w:history="1">
        <w:r w:rsidR="00FA1518" w:rsidRPr="00E623F2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22C23190" w:rsidR="00A46482" w:rsidRDefault="000B601B" w:rsidP="00611A1C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0E33A99F" wp14:editId="6EFEFF44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793D0FC" wp14:editId="0CC52200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1B6144C" wp14:editId="41356739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8C5D7B7" wp14:editId="18F16871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0406C2E" wp14:editId="4282CBDF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FA1518">
      <w:headerReference w:type="default" r:id="rId32"/>
      <w:footerReference w:type="default" r:id="rId33"/>
      <w:pgSz w:w="11901" w:h="16840" w:code="9"/>
      <w:pgMar w:top="1418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FF4C35" w14:textId="77777777" w:rsidR="006D004B" w:rsidRDefault="006D004B">
      <w:r>
        <w:separator/>
      </w:r>
    </w:p>
  </w:endnote>
  <w:endnote w:type="continuationSeparator" w:id="0">
    <w:p w14:paraId="67468CCC" w14:textId="77777777" w:rsidR="006D004B" w:rsidRDefault="006D00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A1518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A1518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A1518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 xml:space="preserve">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A1518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090904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de-DE"/>
                            </w:rPr>
                          </w:pPr>
                          <w:r w:rsidRPr="00090904">
                            <w:rPr>
                              <w:rFonts w:ascii="Arial" w:hAnsi="Arial"/>
                              <w:sz w:val="20"/>
                              <w:lang w:val="de-DE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56403011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∙ amazone@amazone.de ∙ www.amazone.</w:t>
                          </w:r>
                          <w:r w:rsidR="00FA1518">
                            <w:rPr>
                              <w:rFonts w:ascii="Arial" w:hAnsi="Arial"/>
                              <w:sz w:val="20"/>
                            </w:rPr>
                            <w:t>.pl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090904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de-DE"/>
                      </w:rPr>
                    </w:pPr>
                    <w:r w:rsidRPr="00090904">
                      <w:rPr>
                        <w:rFonts w:ascii="Arial" w:hAnsi="Arial"/>
                        <w:sz w:val="20"/>
                        <w:lang w:val="de-DE"/>
                      </w:rPr>
                      <w:t>AMAZONEN-WERKE H. DREYER SE &amp; Co. KG ∙ Am Amazonenwerk 9–13 ∙ D-49205 Hasbergen-Gaste, Niemcy</w:t>
                    </w:r>
                  </w:p>
                  <w:p w14:paraId="60FD3ABD" w14:textId="56403011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Telefon +49 (0)5405 501-0 </w:t>
                    </w:r>
                    <w:r>
                      <w:rPr>
                        <w:rFonts w:ascii="Arial" w:hAnsi="Arial"/>
                        <w:sz w:val="20"/>
                      </w:rPr>
                      <w:t>∙ amazone@amazone.de ∙ www.amazone.</w:t>
                    </w:r>
                    <w:r w:rsidR="00FA1518">
                      <w:rPr>
                        <w:rFonts w:ascii="Arial" w:hAnsi="Arial"/>
                        <w:sz w:val="20"/>
                      </w:rPr>
                      <w:t>.pl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203FB48" w14:textId="77777777" w:rsidR="006D004B" w:rsidRDefault="006D004B">
      <w:r>
        <w:separator/>
      </w:r>
    </w:p>
  </w:footnote>
  <w:footnote w:type="continuationSeparator" w:id="0">
    <w:p w14:paraId="211C6D2B" w14:textId="77777777" w:rsidR="006D004B" w:rsidRDefault="006D00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7C1BFE5" w:rsidR="00E81D17" w:rsidRPr="002804E4" w:rsidRDefault="006348E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Komunikat prasowy grudzień 2021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47C1BFE5" w:rsidR="00E81D17" w:rsidRPr="002804E4" w:rsidRDefault="006348E2" w:rsidP="00E81D17">
                    <w:pPr>
                      <w:pStyle w:val="Normal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Komunikat prasowy grudzień 2021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5F8471E"/>
    <w:multiLevelType w:val="hybridMultilevel"/>
    <w:tmpl w:val="25E29B9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2B36"/>
    <w:rsid w:val="00073DE2"/>
    <w:rsid w:val="00074193"/>
    <w:rsid w:val="0007594F"/>
    <w:rsid w:val="00080817"/>
    <w:rsid w:val="00084480"/>
    <w:rsid w:val="00085DC9"/>
    <w:rsid w:val="00090904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01B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B3B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05A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2974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3773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06DE4"/>
    <w:rsid w:val="006113A9"/>
    <w:rsid w:val="00611A1C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48E2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11D4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004B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3089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121"/>
    <w:rsid w:val="00855B27"/>
    <w:rsid w:val="008561B4"/>
    <w:rsid w:val="008579CE"/>
    <w:rsid w:val="0086119A"/>
    <w:rsid w:val="00861E30"/>
    <w:rsid w:val="00863D84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012F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5EF3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F60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18B0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12F1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670EE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1BF9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518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2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pl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339EFF-D64E-4A15-B68E-520FD07EBB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785</Words>
  <Characters>5416</Characters>
  <Application>Microsoft Office Word</Application>
  <DocSecurity>0</DocSecurity>
  <Lines>45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6189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2010-02-24T09:10:00Z</cp:lastPrinted>
  <dcterms:created xsi:type="dcterms:W3CDTF">2021-12-08T15:16:00Z</dcterms:created>
  <dcterms:modified xsi:type="dcterms:W3CDTF">2021-12-15T08:09:00Z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-884086254</vt:i4>
  </property>
  <property fmtid="{D5CDD505-2E9C-101B-9397-08002B2CF9AE}" pid="4" name="_PreviousAdHocReviewCycleID">
    <vt:i4>977551352</vt:i4>
  </property>
  <property fmtid="{D5CDD505-2E9C-101B-9397-08002B2CF9AE}" pid="5" name="_ReviewingToolsShownOnce">
    <vt:lpwstr/>
  </property>
</Properties>
</file>