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C43CA6" w14:textId="4ADA7AFD" w:rsidR="00DC1F6A" w:rsidRPr="00DC1F6A" w:rsidRDefault="000205BE" w:rsidP="00651DFC">
      <w:pPr>
        <w:spacing w:after="120" w:line="360" w:lineRule="auto"/>
        <w:ind w:left="567" w:right="986"/>
        <w:rPr>
          <w:rFonts w:ascii="Arial" w:hAnsi="Arial" w:cs="Arial"/>
          <w:b/>
          <w:bCs/>
          <w:sz w:val="28"/>
          <w:szCs w:val="28"/>
        </w:rPr>
      </w:pPr>
      <w:r>
        <w:rPr>
          <w:rFonts w:ascii="Arial" w:hAnsi="Arial"/>
          <w:b/>
          <w:sz w:val="28"/>
        </w:rPr>
        <w:t xml:space="preserve">Nouveau procédé d’épandage en bordure </w:t>
      </w:r>
      <w:proofErr w:type="spellStart"/>
      <w:r>
        <w:rPr>
          <w:rFonts w:ascii="Arial" w:hAnsi="Arial"/>
          <w:b/>
          <w:sz w:val="28"/>
        </w:rPr>
        <w:t>BorderTS</w:t>
      </w:r>
      <w:proofErr w:type="spellEnd"/>
      <w:r>
        <w:rPr>
          <w:rFonts w:ascii="Arial" w:hAnsi="Arial"/>
          <w:b/>
          <w:sz w:val="28"/>
        </w:rPr>
        <w:t xml:space="preserve"> pour épandeurs d’engrais AMAZONE ZA-TS et ZG-TS</w:t>
      </w:r>
    </w:p>
    <w:p w14:paraId="4D3DCB17" w14:textId="565FEEEC" w:rsidR="00DC1F6A" w:rsidRPr="00DC1F6A" w:rsidRDefault="00DC1F6A" w:rsidP="00651DFC">
      <w:pPr>
        <w:spacing w:line="360" w:lineRule="auto"/>
        <w:ind w:left="567" w:right="1128"/>
        <w:rPr>
          <w:rFonts w:ascii="Arial" w:hAnsi="Arial" w:cs="Arial"/>
          <w:b/>
          <w:bCs/>
        </w:rPr>
      </w:pPr>
      <w:r>
        <w:rPr>
          <w:rFonts w:ascii="Arial" w:hAnsi="Arial"/>
          <w:b/>
        </w:rPr>
        <w:t>Épandre uniquement là ou l’engrais est utile pour les plantes</w:t>
      </w:r>
    </w:p>
    <w:p w14:paraId="577BA70D" w14:textId="77777777" w:rsidR="008C05C3" w:rsidRDefault="008C05C3" w:rsidP="00651DFC">
      <w:pPr>
        <w:spacing w:line="360" w:lineRule="auto"/>
        <w:ind w:left="567" w:right="1128"/>
        <w:rPr>
          <w:rFonts w:ascii="Arial" w:hAnsi="Arial" w:cs="Arial"/>
        </w:rPr>
      </w:pPr>
    </w:p>
    <w:p w14:paraId="281EA9E6" w14:textId="2B0B2FC5" w:rsidR="001E1E5A" w:rsidRPr="001E1E5A" w:rsidRDefault="00EE5612" w:rsidP="00651DFC">
      <w:pPr>
        <w:spacing w:after="120" w:line="360" w:lineRule="auto"/>
        <w:ind w:left="567" w:right="1128"/>
        <w:rPr>
          <w:rFonts w:ascii="Arial" w:eastAsia="Arial" w:hAnsi="Arial" w:cs="Arial"/>
          <w:b/>
          <w:bCs/>
        </w:rPr>
      </w:pPr>
      <w:r>
        <w:rPr>
          <w:rFonts w:ascii="Arial" w:hAnsi="Arial"/>
          <w:b/>
        </w:rPr>
        <w:t>Dose d’engrais maximale jusqu’en limite du champ</w:t>
      </w:r>
    </w:p>
    <w:p w14:paraId="3B68925B" w14:textId="1FD304B6" w:rsidR="001E1E5A" w:rsidRDefault="001E1E5A" w:rsidP="00651DFC">
      <w:pPr>
        <w:spacing w:after="120" w:line="360" w:lineRule="auto"/>
        <w:ind w:left="567" w:right="1128"/>
        <w:rPr>
          <w:rFonts w:ascii="Arial" w:eastAsia="Arial" w:hAnsi="Arial" w:cs="Arial"/>
        </w:rPr>
      </w:pPr>
      <w:r>
        <w:rPr>
          <w:rFonts w:ascii="Arial" w:hAnsi="Arial"/>
        </w:rPr>
        <w:t xml:space="preserve">Pour fertiliser avec encore plus de précision sur les grandes largeurs de travail en limite du champ, AMAZONE a conçu le déflecteur </w:t>
      </w:r>
      <w:proofErr w:type="spellStart"/>
      <w:r>
        <w:rPr>
          <w:rFonts w:ascii="Arial" w:hAnsi="Arial"/>
        </w:rPr>
        <w:t>BorderTS</w:t>
      </w:r>
      <w:proofErr w:type="spellEnd"/>
      <w:r>
        <w:rPr>
          <w:rFonts w:ascii="Arial" w:hAnsi="Arial"/>
        </w:rPr>
        <w:t xml:space="preserve"> pour les épandeurs d’engrais portés ZA-TS et les épandeurs d’engrais traînés ZG-TS. Contrairement aux déflecteurs de bordure standard, le </w:t>
      </w:r>
      <w:proofErr w:type="spellStart"/>
      <w:r>
        <w:rPr>
          <w:rFonts w:ascii="Arial" w:hAnsi="Arial"/>
        </w:rPr>
        <w:t>BorderTS</w:t>
      </w:r>
      <w:proofErr w:type="spellEnd"/>
      <w:r>
        <w:rPr>
          <w:rFonts w:ascii="Arial" w:hAnsi="Arial"/>
        </w:rPr>
        <w:t xml:space="preserve"> est intégré dans le logiciel de l’épandeur d’engrais. Le nouveau déflecteur est combiné au système d’épandage en bordure </w:t>
      </w:r>
      <w:proofErr w:type="spellStart"/>
      <w:r>
        <w:rPr>
          <w:rFonts w:ascii="Arial" w:hAnsi="Arial"/>
        </w:rPr>
        <w:t>AutoTS</w:t>
      </w:r>
      <w:proofErr w:type="spellEnd"/>
      <w:r>
        <w:rPr>
          <w:rFonts w:ascii="Arial" w:hAnsi="Arial"/>
        </w:rPr>
        <w:t xml:space="preserve"> intégré dans le disque et présente une structure de lamelles particulière. </w:t>
      </w:r>
    </w:p>
    <w:p w14:paraId="3BF59C6C" w14:textId="77777777" w:rsidR="009F79A7" w:rsidRDefault="009F79A7" w:rsidP="00651DFC">
      <w:pPr>
        <w:spacing w:after="120" w:line="360" w:lineRule="auto"/>
        <w:ind w:left="567" w:right="1128"/>
        <w:rPr>
          <w:rFonts w:ascii="Arial" w:eastAsia="Arial" w:hAnsi="Arial" w:cs="Arial"/>
        </w:rPr>
      </w:pPr>
    </w:p>
    <w:p w14:paraId="35C37092" w14:textId="77777777" w:rsidR="001E1E5A" w:rsidRPr="001E1E5A" w:rsidRDefault="001E1E5A" w:rsidP="00651DFC">
      <w:pPr>
        <w:spacing w:after="120" w:line="360" w:lineRule="auto"/>
        <w:ind w:left="567" w:right="1128"/>
        <w:rPr>
          <w:rFonts w:ascii="Arial" w:eastAsia="Arial" w:hAnsi="Arial" w:cs="Arial"/>
          <w:b/>
          <w:bCs/>
        </w:rPr>
      </w:pPr>
      <w:r>
        <w:rPr>
          <w:rFonts w:ascii="Arial" w:hAnsi="Arial"/>
          <w:b/>
        </w:rPr>
        <w:t>AMAZONE et l’épandage en bordure – Précision et perfection</w:t>
      </w:r>
    </w:p>
    <w:p w14:paraId="7C22F4AC" w14:textId="60445B72" w:rsidR="00F51A72" w:rsidRDefault="001E1E5A" w:rsidP="00651DFC">
      <w:pPr>
        <w:spacing w:after="120" w:line="360" w:lineRule="auto"/>
        <w:ind w:left="567" w:right="1128"/>
        <w:rPr>
          <w:rFonts w:ascii="Arial" w:eastAsia="Arial" w:hAnsi="Arial" w:cs="Arial"/>
        </w:rPr>
      </w:pPr>
      <w:r>
        <w:rPr>
          <w:rFonts w:ascii="Arial" w:hAnsi="Arial"/>
        </w:rPr>
        <w:t xml:space="preserve">L’épandage en bordure ultra précis a toujours été primordial pour la société AMAZONE. Très tôt AMAZONE a décelé l’importance du potentiel de rendement élevé dans la zone de bordure des parcelles et simultanément la possibilité d’économiser l’engrais et de respecter l’environnement. </w:t>
      </w:r>
    </w:p>
    <w:p w14:paraId="25C25DC4" w14:textId="100E0EDE" w:rsidR="001E1E5A" w:rsidRPr="001E1E5A" w:rsidRDefault="001E1E5A" w:rsidP="00651DFC">
      <w:pPr>
        <w:spacing w:after="120" w:line="360" w:lineRule="auto"/>
        <w:ind w:left="567" w:right="1128"/>
        <w:rPr>
          <w:rFonts w:ascii="Arial" w:eastAsia="Arial" w:hAnsi="Arial" w:cs="Arial"/>
        </w:rPr>
      </w:pPr>
      <w:r>
        <w:rPr>
          <w:rFonts w:ascii="Arial" w:hAnsi="Arial"/>
        </w:rPr>
        <w:t>Les systèmes d’épandage en bordure, tels que le Limiter, ont contribué à offrir la possibilité aux agriculteurs de passer en cabine de l’épandage normal, à l’épandage en bordure, en limite et en fossé.</w:t>
      </w:r>
    </w:p>
    <w:p w14:paraId="2C94020B" w14:textId="49ED31D0" w:rsidR="001E1E5A" w:rsidRPr="001E1E5A" w:rsidRDefault="001E1E5A" w:rsidP="00651DFC">
      <w:pPr>
        <w:spacing w:after="120" w:line="360" w:lineRule="auto"/>
        <w:ind w:left="567" w:right="1128"/>
        <w:rPr>
          <w:rFonts w:ascii="Arial" w:eastAsia="Arial" w:hAnsi="Arial" w:cs="Arial"/>
        </w:rPr>
      </w:pPr>
      <w:r>
        <w:rPr>
          <w:rFonts w:ascii="Arial" w:hAnsi="Arial"/>
        </w:rPr>
        <w:t>L’avantage d’</w:t>
      </w:r>
      <w:proofErr w:type="spellStart"/>
      <w:r>
        <w:rPr>
          <w:rFonts w:ascii="Arial" w:hAnsi="Arial"/>
        </w:rPr>
        <w:t>AutoTS</w:t>
      </w:r>
      <w:proofErr w:type="spellEnd"/>
      <w:r>
        <w:rPr>
          <w:rFonts w:ascii="Arial" w:hAnsi="Arial"/>
        </w:rPr>
        <w:t xml:space="preserve"> est plus évident sur les grandes largeurs de travail. Avec ce système d’épandage en bordure intégré dans le disque, une aube d’épandage courte est activée, de sorte que l’engrais subit une accélération moindre et par conséquent est épandu avec précision jusqu’à la distance souhaitée. </w:t>
      </w:r>
      <w:proofErr w:type="spellStart"/>
      <w:r>
        <w:rPr>
          <w:rFonts w:ascii="Arial" w:hAnsi="Arial"/>
        </w:rPr>
        <w:t>AutoTS</w:t>
      </w:r>
      <w:proofErr w:type="spellEnd"/>
      <w:r>
        <w:rPr>
          <w:rFonts w:ascii="Arial" w:hAnsi="Arial"/>
        </w:rPr>
        <w:t xml:space="preserve"> permet, par rapport aux systèmes d’épandage en bordure conventionnels, une fertilisation nettement plus efficace jusqu’en bordure du champ pour obtenir ainsi un rendement supérieur jusqu’à 17 % sur cette zone.</w:t>
      </w:r>
    </w:p>
    <w:p w14:paraId="451F31AB" w14:textId="72276BE8" w:rsidR="001E1E5A" w:rsidRPr="001E1E5A" w:rsidRDefault="00E46381" w:rsidP="00651DFC">
      <w:pPr>
        <w:spacing w:after="120" w:line="360" w:lineRule="auto"/>
        <w:ind w:left="567" w:right="1128"/>
        <w:rPr>
          <w:rFonts w:ascii="Arial" w:eastAsia="Arial" w:hAnsi="Arial" w:cs="Arial"/>
        </w:rPr>
      </w:pPr>
      <w:r>
        <w:rPr>
          <w:rFonts w:ascii="Arial" w:hAnsi="Arial"/>
        </w:rPr>
        <w:lastRenderedPageBreak/>
        <w:t xml:space="preserve">Les deux systèmes d’épandage en bordure fonctionnent selon le principe de fertilisation à partir de la première voie de </w:t>
      </w:r>
      <w:proofErr w:type="spellStart"/>
      <w:r>
        <w:rPr>
          <w:rFonts w:ascii="Arial" w:hAnsi="Arial"/>
        </w:rPr>
        <w:t>jalonnage</w:t>
      </w:r>
      <w:proofErr w:type="spellEnd"/>
      <w:r>
        <w:rPr>
          <w:rFonts w:ascii="Arial" w:hAnsi="Arial"/>
        </w:rPr>
        <w:t xml:space="preserve"> jusqu'au bord du champ. </w:t>
      </w:r>
    </w:p>
    <w:p w14:paraId="6E1D5EE1" w14:textId="2E77EFCA" w:rsidR="0055709C" w:rsidRDefault="001E1E5A" w:rsidP="00651DFC">
      <w:pPr>
        <w:spacing w:after="120" w:line="360" w:lineRule="auto"/>
        <w:ind w:left="567" w:right="1128"/>
        <w:rPr>
          <w:rFonts w:ascii="Arial" w:eastAsia="Arial" w:hAnsi="Arial" w:cs="Arial"/>
        </w:rPr>
      </w:pPr>
      <w:r>
        <w:rPr>
          <w:rFonts w:ascii="Arial" w:hAnsi="Arial"/>
        </w:rPr>
        <w:t xml:space="preserve">Pour obtenir des rendements supérieurs en bordure du champ, il est désormais possible d’utiliser en plus le nouveau déflecteur </w:t>
      </w:r>
      <w:proofErr w:type="spellStart"/>
      <w:r>
        <w:rPr>
          <w:rFonts w:ascii="Arial" w:hAnsi="Arial"/>
        </w:rPr>
        <w:t>BorderTS</w:t>
      </w:r>
      <w:proofErr w:type="spellEnd"/>
      <w:r>
        <w:rPr>
          <w:rFonts w:ascii="Arial" w:hAnsi="Arial"/>
        </w:rPr>
        <w:t xml:space="preserve">, combiné à </w:t>
      </w:r>
      <w:proofErr w:type="spellStart"/>
      <w:r>
        <w:rPr>
          <w:rFonts w:ascii="Arial" w:hAnsi="Arial"/>
        </w:rPr>
        <w:t>AutoTS</w:t>
      </w:r>
      <w:proofErr w:type="spellEnd"/>
      <w:r>
        <w:rPr>
          <w:rFonts w:ascii="Arial" w:hAnsi="Arial"/>
        </w:rPr>
        <w:t xml:space="preserve">. Avec </w:t>
      </w:r>
      <w:proofErr w:type="spellStart"/>
      <w:r>
        <w:rPr>
          <w:rFonts w:ascii="Arial" w:hAnsi="Arial"/>
        </w:rPr>
        <w:t>BorderTS</w:t>
      </w:r>
      <w:proofErr w:type="spellEnd"/>
      <w:r>
        <w:rPr>
          <w:rFonts w:ascii="Arial" w:hAnsi="Arial"/>
        </w:rPr>
        <w:t xml:space="preserve">, l’engrais est épandu directement depuis le bord du champ dans la culture. La trappe de dosage côté limite du champ est alors fermée. AMAZONE a développé le nouveau déflecteur </w:t>
      </w:r>
      <w:proofErr w:type="spellStart"/>
      <w:r>
        <w:rPr>
          <w:rFonts w:ascii="Arial" w:hAnsi="Arial"/>
        </w:rPr>
        <w:t>BorderTS</w:t>
      </w:r>
      <w:proofErr w:type="spellEnd"/>
      <w:r>
        <w:rPr>
          <w:rFonts w:ascii="Arial" w:hAnsi="Arial"/>
        </w:rPr>
        <w:t xml:space="preserve"> spécialement pour les organes d’épandage TS, de façon à obtenir avec </w:t>
      </w:r>
      <w:proofErr w:type="spellStart"/>
      <w:r>
        <w:rPr>
          <w:rFonts w:ascii="Arial" w:hAnsi="Arial"/>
        </w:rPr>
        <w:t>AutoTS</w:t>
      </w:r>
      <w:proofErr w:type="spellEnd"/>
      <w:r>
        <w:rPr>
          <w:rFonts w:ascii="Arial" w:hAnsi="Arial"/>
        </w:rPr>
        <w:t xml:space="preserve"> des résultats exceptionnels au niveau de la répartition transversale jusqu’en bordure du champ, sans projeter l’engrais au-delà de la limite. Dans la zone de bordure, il est ainsi possible d’obtenir sur les cinq mètres extérieurs, un rendement supérieur jusqu’à 27 % par rapport aux systèmes d’épandage en bordure conventionnels.</w:t>
      </w:r>
    </w:p>
    <w:p w14:paraId="2C8C5D8B" w14:textId="77777777" w:rsidR="0055709C" w:rsidRDefault="0055709C" w:rsidP="00651DFC">
      <w:pPr>
        <w:spacing w:after="120" w:line="360" w:lineRule="auto"/>
        <w:ind w:left="567" w:right="1128"/>
        <w:rPr>
          <w:rFonts w:ascii="Arial" w:eastAsia="Arial" w:hAnsi="Arial" w:cs="Arial"/>
        </w:rPr>
      </w:pPr>
    </w:p>
    <w:p w14:paraId="09BADDD2" w14:textId="0FFFA055" w:rsidR="001E1E5A" w:rsidRPr="00AA54A5" w:rsidRDefault="00AA54A5" w:rsidP="00651DFC">
      <w:pPr>
        <w:spacing w:after="120" w:line="360" w:lineRule="auto"/>
        <w:ind w:left="567" w:right="1128"/>
        <w:rPr>
          <w:rFonts w:ascii="Arial" w:eastAsia="Arial" w:hAnsi="Arial" w:cs="Arial"/>
        </w:rPr>
      </w:pPr>
      <w:r>
        <w:rPr>
          <w:rFonts w:ascii="Arial" w:hAnsi="Arial"/>
          <w:b/>
        </w:rPr>
        <w:t xml:space="preserve">Fertilisation ultra précise en bordure avec le nouveau déflecteur </w:t>
      </w:r>
      <w:proofErr w:type="spellStart"/>
      <w:r>
        <w:rPr>
          <w:rFonts w:ascii="Arial" w:hAnsi="Arial"/>
          <w:b/>
        </w:rPr>
        <w:t>BorderTS</w:t>
      </w:r>
      <w:proofErr w:type="spellEnd"/>
      <w:r>
        <w:rPr>
          <w:rFonts w:ascii="Arial" w:hAnsi="Arial"/>
          <w:b/>
        </w:rPr>
        <w:t xml:space="preserve"> associé à </w:t>
      </w:r>
      <w:proofErr w:type="spellStart"/>
      <w:r>
        <w:rPr>
          <w:rFonts w:ascii="Arial" w:hAnsi="Arial"/>
          <w:b/>
        </w:rPr>
        <w:t>AutoTS</w:t>
      </w:r>
      <w:proofErr w:type="spellEnd"/>
      <w:r>
        <w:rPr>
          <w:rFonts w:ascii="Arial" w:hAnsi="Arial"/>
          <w:b/>
        </w:rPr>
        <w:t xml:space="preserve"> </w:t>
      </w:r>
    </w:p>
    <w:p w14:paraId="7B4F036D" w14:textId="77777777" w:rsidR="00394830" w:rsidRDefault="001E1E5A" w:rsidP="00651DFC">
      <w:pPr>
        <w:spacing w:after="120" w:line="360" w:lineRule="auto"/>
        <w:ind w:left="567" w:right="1128"/>
        <w:rPr>
          <w:rFonts w:ascii="Arial" w:hAnsi="Arial"/>
        </w:rPr>
      </w:pPr>
      <w:r>
        <w:rPr>
          <w:rFonts w:ascii="Arial" w:hAnsi="Arial"/>
        </w:rPr>
        <w:t xml:space="preserve">Outre l’utilisation du nouveau déflecteur </w:t>
      </w:r>
      <w:proofErr w:type="spellStart"/>
      <w:r>
        <w:rPr>
          <w:rFonts w:ascii="Arial" w:hAnsi="Arial"/>
        </w:rPr>
        <w:t>BorderTS</w:t>
      </w:r>
      <w:proofErr w:type="spellEnd"/>
      <w:r>
        <w:rPr>
          <w:rFonts w:ascii="Arial" w:hAnsi="Arial"/>
        </w:rPr>
        <w:t xml:space="preserve"> sur les parcelles de cultures en rangs ou de systèmes de </w:t>
      </w:r>
      <w:proofErr w:type="spellStart"/>
      <w:r>
        <w:rPr>
          <w:rFonts w:ascii="Arial" w:hAnsi="Arial"/>
        </w:rPr>
        <w:t>jalonnage</w:t>
      </w:r>
      <w:proofErr w:type="spellEnd"/>
      <w:r>
        <w:rPr>
          <w:rFonts w:ascii="Arial" w:hAnsi="Arial"/>
        </w:rPr>
        <w:t xml:space="preserve"> particuliers, le déflecteur peut être utilisé très efficacement pour le premier apport. A cet égard, il est toujours primordial que la dose intégrale d’engrais soit appliquée avec précision jusqu’à la limite du champ, sans projeter l’engrais au-delà. Sachant que la croissance des plantes écrasées en bordure n'est pas durablement affectée lors du premier apport.</w:t>
      </w:r>
      <w:r>
        <w:rPr>
          <w:rFonts w:ascii="Arial" w:hAnsi="Arial"/>
        </w:rPr>
        <w:br/>
      </w:r>
      <w:r>
        <w:rPr>
          <w:rFonts w:ascii="Arial" w:hAnsi="Arial"/>
        </w:rPr>
        <w:br/>
      </w:r>
    </w:p>
    <w:p w14:paraId="33A05B90" w14:textId="77777777" w:rsidR="00394830" w:rsidRDefault="00394830">
      <w:pPr>
        <w:rPr>
          <w:rFonts w:ascii="Arial" w:hAnsi="Arial"/>
        </w:rPr>
      </w:pPr>
      <w:r>
        <w:rPr>
          <w:rFonts w:ascii="Arial" w:hAnsi="Arial"/>
        </w:rPr>
        <w:br w:type="page"/>
      </w:r>
    </w:p>
    <w:p w14:paraId="736EFBA6" w14:textId="21437305" w:rsidR="009D21C4" w:rsidRDefault="001E1E5A" w:rsidP="00651DFC">
      <w:pPr>
        <w:spacing w:after="120" w:line="360" w:lineRule="auto"/>
        <w:ind w:left="567" w:right="1128"/>
        <w:rPr>
          <w:rFonts w:ascii="Arial" w:eastAsia="Arial" w:hAnsi="Arial" w:cs="Arial"/>
        </w:rPr>
      </w:pPr>
      <w:r>
        <w:rPr>
          <w:rFonts w:ascii="Arial" w:hAnsi="Arial"/>
        </w:rPr>
        <w:lastRenderedPageBreak/>
        <w:t xml:space="preserve">Représentation du travail combiné de </w:t>
      </w:r>
      <w:proofErr w:type="spellStart"/>
      <w:r>
        <w:rPr>
          <w:rFonts w:ascii="Arial" w:hAnsi="Arial"/>
        </w:rPr>
        <w:t>BorderTS</w:t>
      </w:r>
      <w:proofErr w:type="spellEnd"/>
      <w:r>
        <w:rPr>
          <w:rFonts w:ascii="Arial" w:hAnsi="Arial"/>
        </w:rPr>
        <w:t xml:space="preserve"> et </w:t>
      </w:r>
      <w:proofErr w:type="spellStart"/>
      <w:r>
        <w:rPr>
          <w:rFonts w:ascii="Arial" w:hAnsi="Arial"/>
        </w:rPr>
        <w:t>AutoTS</w:t>
      </w:r>
      <w:proofErr w:type="spellEnd"/>
      <w:r>
        <w:rPr>
          <w:rFonts w:ascii="Arial" w:hAnsi="Arial"/>
        </w:rPr>
        <w:t> :</w:t>
      </w:r>
    </w:p>
    <w:p w14:paraId="03B91668" w14:textId="34ACA20B" w:rsidR="009D21C4" w:rsidRDefault="00394830" w:rsidP="00651DFC">
      <w:pPr>
        <w:spacing w:after="120" w:line="360" w:lineRule="auto"/>
        <w:ind w:left="567" w:right="1128"/>
        <w:rPr>
          <w:rFonts w:ascii="Arial" w:eastAsia="Arial" w:hAnsi="Arial" w:cs="Arial"/>
        </w:rPr>
      </w:pPr>
      <w:r>
        <w:rPr>
          <w:rFonts w:ascii="Arial" w:hAnsi="Arial"/>
          <w:noProof/>
          <w:lang w:val="de-DE"/>
        </w:rPr>
        <w:pict w14:anchorId="5DD14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79.3pt;height:252pt">
            <v:imagedata r:id="rId8" o:title="grafik_BorderTS_fr_GO"/>
          </v:shape>
        </w:pict>
      </w:r>
    </w:p>
    <w:p w14:paraId="21F78F0D" w14:textId="77777777" w:rsidR="00BB5AE4" w:rsidRDefault="00BB5AE4" w:rsidP="00651DFC">
      <w:pPr>
        <w:spacing w:after="120" w:line="360" w:lineRule="auto"/>
        <w:ind w:left="567" w:right="1128"/>
        <w:rPr>
          <w:rFonts w:ascii="Arial" w:eastAsia="Arial" w:hAnsi="Arial" w:cs="Arial"/>
        </w:rPr>
      </w:pPr>
    </w:p>
    <w:p w14:paraId="1FE3A1C2" w14:textId="63202A96"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hAnsi="Arial"/>
        </w:rPr>
        <w:t xml:space="preserve">Épandage de l’engrais avec le déflecteur </w:t>
      </w:r>
      <w:proofErr w:type="spellStart"/>
      <w:r>
        <w:rPr>
          <w:rFonts w:ascii="Arial" w:hAnsi="Arial"/>
        </w:rPr>
        <w:t>BorderTS</w:t>
      </w:r>
      <w:proofErr w:type="spellEnd"/>
      <w:r>
        <w:rPr>
          <w:rFonts w:ascii="Arial" w:hAnsi="Arial"/>
        </w:rPr>
        <w:t xml:space="preserve"> depuis la bordure du champ vers la culture avec une réduction automatique du volume nominal à 50 %. L’ouverture de dosage côté limite du champ est fermée.</w:t>
      </w:r>
    </w:p>
    <w:p w14:paraId="7AC155D5" w14:textId="5918F2D8"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hAnsi="Arial"/>
        </w:rPr>
        <w:t xml:space="preserve">Avec </w:t>
      </w:r>
      <w:proofErr w:type="spellStart"/>
      <w:r>
        <w:rPr>
          <w:rFonts w:ascii="Arial" w:hAnsi="Arial"/>
        </w:rPr>
        <w:t>AutoTS</w:t>
      </w:r>
      <w:proofErr w:type="spellEnd"/>
      <w:r>
        <w:rPr>
          <w:rFonts w:ascii="Arial" w:hAnsi="Arial"/>
        </w:rPr>
        <w:t xml:space="preserve"> l’épandage se fait depuis le premier </w:t>
      </w:r>
      <w:proofErr w:type="spellStart"/>
      <w:r>
        <w:rPr>
          <w:rFonts w:ascii="Arial" w:hAnsi="Arial"/>
        </w:rPr>
        <w:t>jalonnage</w:t>
      </w:r>
      <w:proofErr w:type="spellEnd"/>
      <w:r>
        <w:rPr>
          <w:rFonts w:ascii="Arial" w:hAnsi="Arial"/>
        </w:rPr>
        <w:t xml:space="preserve"> côté bordure également avec 50 %, pour au total arriver à la valeur nominale dans la zone de bordure. Épandage normal côté champ avec 100 % de la dose nominale.</w:t>
      </w:r>
    </w:p>
    <w:p w14:paraId="6606BBB8" w14:textId="35D75F34" w:rsidR="009D21C4" w:rsidRPr="006D34DC" w:rsidRDefault="00E068EC" w:rsidP="00651DFC">
      <w:pPr>
        <w:pStyle w:val="Listenabsatz"/>
        <w:numPr>
          <w:ilvl w:val="0"/>
          <w:numId w:val="7"/>
        </w:numPr>
        <w:spacing w:after="120" w:line="360" w:lineRule="auto"/>
        <w:ind w:left="851" w:right="1128"/>
        <w:rPr>
          <w:rFonts w:ascii="Arial" w:eastAsia="Arial" w:hAnsi="Arial" w:cs="Arial"/>
        </w:rPr>
      </w:pPr>
      <w:r>
        <w:rPr>
          <w:rFonts w:ascii="Arial" w:hAnsi="Arial"/>
        </w:rPr>
        <w:t xml:space="preserve">Sur les autres </w:t>
      </w:r>
      <w:proofErr w:type="spellStart"/>
      <w:r>
        <w:rPr>
          <w:rFonts w:ascii="Arial" w:hAnsi="Arial"/>
        </w:rPr>
        <w:t>jalonnages</w:t>
      </w:r>
      <w:proofErr w:type="spellEnd"/>
      <w:r>
        <w:rPr>
          <w:rFonts w:ascii="Arial" w:hAnsi="Arial"/>
        </w:rPr>
        <w:t>, l’épandage est normal avec une valeur nominale de 100 % des deux côtés.</w:t>
      </w:r>
    </w:p>
    <w:p w14:paraId="1A900021" w14:textId="4E051118" w:rsidR="00394830" w:rsidRDefault="0029513E" w:rsidP="00651DFC">
      <w:pPr>
        <w:spacing w:after="120" w:line="360" w:lineRule="auto"/>
        <w:ind w:left="567" w:right="1128"/>
        <w:rPr>
          <w:rFonts w:ascii="Arial" w:eastAsia="Arial" w:hAnsi="Arial" w:cs="Arial"/>
        </w:rPr>
      </w:pPr>
      <w:r>
        <w:rPr>
          <w:rFonts w:ascii="Arial" w:hAnsi="Arial"/>
        </w:rPr>
        <w:t>Toutes les valeurs peuvent être enregistrées au préalable dans les paramètres de l’épandeur, de sorte que les paramètres de réglage adaptés sont automatiquement approchés en fonction de la situation.</w:t>
      </w:r>
      <w:r>
        <w:rPr>
          <w:rFonts w:ascii="Arial" w:hAnsi="Arial"/>
        </w:rPr>
        <w:br/>
      </w:r>
    </w:p>
    <w:p w14:paraId="336D9AC3" w14:textId="77777777" w:rsidR="00394830" w:rsidRDefault="00394830">
      <w:pPr>
        <w:rPr>
          <w:rFonts w:ascii="Arial" w:eastAsia="Arial" w:hAnsi="Arial" w:cs="Arial"/>
        </w:rPr>
      </w:pPr>
      <w:r>
        <w:rPr>
          <w:rFonts w:ascii="Arial" w:eastAsia="Arial" w:hAnsi="Arial" w:cs="Arial"/>
        </w:rPr>
        <w:br w:type="page"/>
      </w:r>
    </w:p>
    <w:p w14:paraId="1BA72B53" w14:textId="77777777" w:rsidR="001E1E5A" w:rsidRPr="001E1E5A" w:rsidRDefault="001E1E5A" w:rsidP="00651DFC">
      <w:pPr>
        <w:spacing w:after="120" w:line="360" w:lineRule="auto"/>
        <w:ind w:left="567" w:right="1128"/>
        <w:rPr>
          <w:rFonts w:ascii="Arial" w:eastAsia="Arial" w:hAnsi="Arial" w:cs="Arial"/>
        </w:rPr>
      </w:pPr>
      <w:r>
        <w:rPr>
          <w:rFonts w:ascii="Arial" w:hAnsi="Arial"/>
          <w:b/>
        </w:rPr>
        <w:lastRenderedPageBreak/>
        <w:t>Structure de lamelles et intégration de logiciel</w:t>
      </w:r>
    </w:p>
    <w:p w14:paraId="7735BD4F" w14:textId="0E193BC4" w:rsidR="001E1E5A" w:rsidRPr="001E1E5A" w:rsidRDefault="001E1E5A" w:rsidP="00651DFC">
      <w:pPr>
        <w:spacing w:after="120" w:line="360" w:lineRule="auto"/>
        <w:ind w:left="567" w:right="1128"/>
        <w:rPr>
          <w:rFonts w:ascii="Arial" w:eastAsia="Arial" w:hAnsi="Arial" w:cs="Arial"/>
        </w:rPr>
      </w:pPr>
      <w:r>
        <w:rPr>
          <w:rFonts w:ascii="Arial" w:hAnsi="Arial"/>
        </w:rPr>
        <w:t xml:space="preserve">Sur les grandes largeurs de travail, l’engrais doit être accéléré nettement plus fortement pour obtenir une plage de chevauchement correcte avec la zone d’épandage du premier </w:t>
      </w:r>
      <w:proofErr w:type="spellStart"/>
      <w:r>
        <w:rPr>
          <w:rFonts w:ascii="Arial" w:hAnsi="Arial"/>
        </w:rPr>
        <w:t>jalonnage</w:t>
      </w:r>
      <w:proofErr w:type="spellEnd"/>
      <w:r>
        <w:rPr>
          <w:rFonts w:ascii="Arial" w:hAnsi="Arial"/>
        </w:rPr>
        <w:t xml:space="preserve">. En raison de l’énergie importante des granulés, la </w:t>
      </w:r>
      <w:proofErr w:type="gramStart"/>
      <w:r>
        <w:rPr>
          <w:rFonts w:ascii="Arial" w:hAnsi="Arial"/>
        </w:rPr>
        <w:t>répartition</w:t>
      </w:r>
      <w:proofErr w:type="gramEnd"/>
      <w:r>
        <w:rPr>
          <w:rFonts w:ascii="Arial" w:hAnsi="Arial"/>
        </w:rPr>
        <w:t xml:space="preserve"> transversale derrière le tracteur n’est souvent pas satisfaisante avec les systèmes conventionnels. Le déflecteur </w:t>
      </w:r>
      <w:proofErr w:type="spellStart"/>
      <w:r>
        <w:rPr>
          <w:rFonts w:ascii="Arial" w:hAnsi="Arial"/>
        </w:rPr>
        <w:t>BorderTS</w:t>
      </w:r>
      <w:proofErr w:type="spellEnd"/>
      <w:r>
        <w:rPr>
          <w:rFonts w:ascii="Arial" w:hAnsi="Arial"/>
        </w:rPr>
        <w:t xml:space="preserve"> dispose d’une structure de lamelles particulière et d’un déflecteur qui permettent de régler l’inclinaison. Les lamelles prélèvent de l’énergie au niveau des granulés et ils sont ensuite guidés au sol en douceur par le déflecteur. Le déflecteur se règle en continu pour un épandage optimal jusqu’en bordure du champ. Par ailleurs, un capteur saisit la position de travail. Si le déflecteur est activé, la dose ainsi que le point d’application de l’engrais sont automatiquement adaptés sur le disque d’épandage pour garantir la meilleure répartition transversale possible, en association avec le système d’épandage en bordure </w:t>
      </w:r>
      <w:proofErr w:type="spellStart"/>
      <w:r>
        <w:rPr>
          <w:rFonts w:ascii="Arial" w:hAnsi="Arial"/>
        </w:rPr>
        <w:t>AutoTS</w:t>
      </w:r>
      <w:proofErr w:type="spellEnd"/>
      <w:r>
        <w:rPr>
          <w:rFonts w:ascii="Arial" w:hAnsi="Arial"/>
        </w:rPr>
        <w:t xml:space="preserve"> intégré dans le disque. Bien entendu, le débit peut être incrémenté à tout moment manuellement pour réagir aux situations particulières.</w:t>
      </w:r>
    </w:p>
    <w:p w14:paraId="07B42274" w14:textId="3E87E42E" w:rsidR="006C0F90" w:rsidRDefault="006C0F90" w:rsidP="00651DFC">
      <w:pPr>
        <w:ind w:right="1128"/>
        <w:rPr>
          <w:rFonts w:ascii="Arial" w:eastAsia="Arial" w:hAnsi="Arial" w:cs="Arial"/>
        </w:rPr>
      </w:pPr>
      <w:r>
        <w:br w:type="page"/>
      </w:r>
    </w:p>
    <w:p w14:paraId="528AFFA6" w14:textId="0ACC438E" w:rsidR="005E5C4B" w:rsidRDefault="00394830" w:rsidP="00651DFC">
      <w:pPr>
        <w:spacing w:after="120" w:line="360" w:lineRule="auto"/>
        <w:ind w:left="567" w:right="1128"/>
        <w:rPr>
          <w:rFonts w:ascii="Arial" w:eastAsia="Arial" w:hAnsi="Arial" w:cs="Arial"/>
        </w:rPr>
      </w:pPr>
      <w:bookmarkStart w:id="0" w:name="_GoBack"/>
      <w:bookmarkEnd w:id="0"/>
      <w:r>
        <w:rPr>
          <w:rFonts w:ascii="Arial" w:eastAsia="Arial" w:hAnsi="Arial" w:cs="Arial"/>
          <w:noProof/>
          <w:lang w:val="de-DE"/>
        </w:rPr>
        <w:lastRenderedPageBreak/>
        <w:drawing>
          <wp:inline distT="0" distB="0" distL="0" distR="0" wp14:anchorId="6FA408BA" wp14:editId="1E35A373">
            <wp:extent cx="4637405" cy="3082925"/>
            <wp:effectExtent l="0" t="0" r="0" b="3175"/>
            <wp:docPr id="19" name="Grafik 19" descr="BorderTS_DSC3282_d1_210827_Anschnitt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derTS_DSC3282_d1_210827_Anschnitt_kl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DC045B4" w14:textId="0B0546D0" w:rsidR="00DC1F6A" w:rsidRPr="00DC1F6A" w:rsidRDefault="00DC1F6A" w:rsidP="00651DFC">
      <w:pPr>
        <w:spacing w:after="120" w:line="360" w:lineRule="auto"/>
        <w:ind w:left="567" w:right="1128"/>
        <w:rPr>
          <w:rFonts w:ascii="Arial" w:eastAsia="Arial" w:hAnsi="Arial" w:cs="Arial"/>
        </w:rPr>
      </w:pPr>
      <w:r>
        <w:rPr>
          <w:rFonts w:ascii="Arial" w:hAnsi="Arial"/>
        </w:rPr>
        <w:t xml:space="preserve">Le déflecteur </w:t>
      </w:r>
      <w:proofErr w:type="spellStart"/>
      <w:r>
        <w:rPr>
          <w:rFonts w:ascii="Arial" w:hAnsi="Arial"/>
        </w:rPr>
        <w:t>BorderTS</w:t>
      </w:r>
      <w:proofErr w:type="spellEnd"/>
      <w:r>
        <w:rPr>
          <w:rFonts w:ascii="Arial" w:hAnsi="Arial"/>
        </w:rPr>
        <w:t xml:space="preserve"> est monté au centre derrière l’épandeur et il est activé hydrauliquement.</w:t>
      </w:r>
    </w:p>
    <w:p w14:paraId="5BBBB99C" w14:textId="41DCE0C7" w:rsidR="005E5C4B" w:rsidRDefault="005E5C4B" w:rsidP="00651DFC">
      <w:pPr>
        <w:spacing w:after="120" w:line="360" w:lineRule="auto"/>
        <w:ind w:left="567" w:right="1128"/>
        <w:rPr>
          <w:rFonts w:ascii="Arial" w:eastAsia="Arial" w:hAnsi="Arial" w:cs="Arial"/>
        </w:rPr>
      </w:pPr>
    </w:p>
    <w:p w14:paraId="51A816FF" w14:textId="5982D1A6" w:rsidR="00DC1F6A" w:rsidRDefault="00760B66" w:rsidP="00651DFC">
      <w:pPr>
        <w:spacing w:after="120" w:line="360" w:lineRule="auto"/>
        <w:ind w:left="567" w:right="1128"/>
        <w:rPr>
          <w:rFonts w:ascii="Arial" w:eastAsia="Arial" w:hAnsi="Arial" w:cs="Arial"/>
        </w:rPr>
      </w:pPr>
      <w:r>
        <w:rPr>
          <w:rFonts w:ascii="Arial" w:hAnsi="Arial"/>
          <w:noProof/>
          <w:lang w:val="de-DE"/>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DC1F6A" w:rsidRDefault="00DC1F6A" w:rsidP="00651DFC">
      <w:pPr>
        <w:spacing w:after="120" w:line="360" w:lineRule="auto"/>
        <w:ind w:left="567" w:right="1128"/>
        <w:rPr>
          <w:rFonts w:ascii="Arial" w:eastAsia="Arial" w:hAnsi="Arial" w:cs="Arial"/>
        </w:rPr>
      </w:pPr>
      <w:r>
        <w:rPr>
          <w:rFonts w:ascii="Arial" w:hAnsi="Arial"/>
        </w:rPr>
        <w:t xml:space="preserve">En position active, sur le ZA-TS le déflecteur </w:t>
      </w:r>
      <w:proofErr w:type="spellStart"/>
      <w:r>
        <w:rPr>
          <w:rFonts w:ascii="Arial" w:hAnsi="Arial"/>
        </w:rPr>
        <w:t>BorderTS</w:t>
      </w:r>
      <w:proofErr w:type="spellEnd"/>
      <w:r>
        <w:rPr>
          <w:rFonts w:ascii="Arial" w:hAnsi="Arial"/>
        </w:rPr>
        <w:t xml:space="preserve"> est pivoté depuis le haut dans la nappe d’épandage. Grâce à la structure spéciale des lamelles et à la tôle de guidage réglable en continu, les granulés sont dirigés en douceur vers le sol.</w:t>
      </w:r>
    </w:p>
    <w:p w14:paraId="5925C3B6" w14:textId="18D2142E" w:rsidR="00760B66" w:rsidRDefault="00760B66" w:rsidP="00651DFC">
      <w:pPr>
        <w:ind w:right="1128"/>
        <w:rPr>
          <w:rFonts w:ascii="Arial" w:hAnsi="Arial" w:cs="Arial"/>
        </w:rPr>
      </w:pPr>
    </w:p>
    <w:p w14:paraId="4E5CF43D" w14:textId="5F12A598" w:rsidR="00760B66" w:rsidRDefault="00760B66" w:rsidP="00651DFC">
      <w:pPr>
        <w:ind w:right="1128"/>
        <w:rPr>
          <w:rFonts w:ascii="Arial" w:hAnsi="Arial" w:cs="Arial"/>
        </w:rPr>
      </w:pPr>
    </w:p>
    <w:p w14:paraId="6967A576" w14:textId="484399A0" w:rsidR="00760B66" w:rsidRDefault="00760B66" w:rsidP="00651DFC">
      <w:pPr>
        <w:ind w:right="1128"/>
        <w:rPr>
          <w:rFonts w:ascii="Arial" w:hAnsi="Arial" w:cs="Arial"/>
        </w:rPr>
      </w:pPr>
    </w:p>
    <w:p w14:paraId="64696F55" w14:textId="3BE0F269" w:rsidR="00760B66" w:rsidRDefault="00760B66" w:rsidP="00651DFC">
      <w:pPr>
        <w:ind w:right="1128"/>
        <w:rPr>
          <w:rFonts w:ascii="Arial" w:hAnsi="Arial" w:cs="Arial"/>
        </w:rPr>
      </w:pPr>
    </w:p>
    <w:p w14:paraId="3FC07A84" w14:textId="5628E1A9" w:rsidR="00760B66" w:rsidRDefault="00760B66" w:rsidP="00651DFC">
      <w:pPr>
        <w:ind w:right="1128"/>
        <w:rPr>
          <w:rFonts w:ascii="Arial" w:hAnsi="Arial" w:cs="Arial"/>
        </w:rPr>
      </w:pPr>
    </w:p>
    <w:p w14:paraId="599DC592" w14:textId="77777777" w:rsidR="00760B66" w:rsidRDefault="00760B66" w:rsidP="00651DFC">
      <w:pPr>
        <w:ind w:right="1128"/>
        <w:rPr>
          <w:rFonts w:ascii="Arial" w:hAnsi="Arial" w:cs="Arial"/>
        </w:rPr>
      </w:pPr>
    </w:p>
    <w:p w14:paraId="54DCBCD4" w14:textId="35CD716B" w:rsidR="00353431" w:rsidRDefault="00353431" w:rsidP="00651DFC">
      <w:pPr>
        <w:ind w:right="1128"/>
        <w:rPr>
          <w:rFonts w:ascii="Arial" w:hAnsi="Arial" w:cs="Arial"/>
          <w:b/>
          <w:bCs/>
          <w:color w:val="808080" w:themeColor="background1" w:themeShade="80"/>
          <w:sz w:val="20"/>
          <w:szCs w:val="20"/>
        </w:rPr>
      </w:pPr>
    </w:p>
    <w:p w14:paraId="4AA22249" w14:textId="3FA5C0A8" w:rsidR="00114F26" w:rsidRPr="00E12CE4"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490A24A8" w14:textId="77777777" w:rsidR="00114F26" w:rsidRPr="00E12CE4"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1" w:history="1">
        <w:r>
          <w:rPr>
            <w:rStyle w:val="Hyperlink"/>
            <w:rFonts w:ascii="Arial" w:hAnsi="Arial"/>
            <w:sz w:val="20"/>
          </w:rPr>
          <w:t>www.amazone.fr</w:t>
        </w:r>
      </w:hyperlink>
    </w:p>
    <w:p w14:paraId="252D2E94" w14:textId="77777777" w:rsidR="00A46482"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394830">
      <w:headerReference w:type="default" r:id="rId27"/>
      <w:footerReference w:type="default" r:id="rId28"/>
      <w:pgSz w:w="11901" w:h="16840" w:code="9"/>
      <w:pgMar w:top="1985"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71FE5">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71FE5">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71FE5">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71FE5">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6B40FB74" w:rsidR="005E0980" w:rsidRPr="00356492" w:rsidRDefault="005E0980" w:rsidP="006F7755">
                          <w:pPr>
                            <w:spacing w:line="280" w:lineRule="exact"/>
                            <w:rPr>
                              <w:rFonts w:ascii="Arial" w:hAnsi="Arial"/>
                              <w:spacing w:val="2"/>
                              <w:sz w:val="20"/>
                            </w:rPr>
                          </w:pPr>
                          <w:r>
                            <w:rPr>
                              <w:rFonts w:ascii="Arial" w:hAnsi="Arial"/>
                              <w:sz w:val="20"/>
                            </w:rPr>
                            <w:t>Tél. : +49 (0)5405 501-0 ∙ amazone@amazone.de ∙ www.amazone.</w:t>
                          </w:r>
                          <w:r w:rsidR="00394830">
                            <w:rPr>
                              <w:rFonts w:ascii="Arial" w:hAnsi="Arial"/>
                              <w:sz w:val="20"/>
                            </w:rPr>
                            <w: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6B40FB74" w:rsidR="005E0980" w:rsidRPr="00356492" w:rsidRDefault="005E0980" w:rsidP="006F7755">
                    <w:pPr>
                      <w:spacing w:line="280" w:lineRule="exact"/>
                      <w:rPr>
                        <w:rFonts w:ascii="Arial" w:hAnsi="Arial"/>
                        <w:spacing w:val="2"/>
                        <w:sz w:val="20"/>
                      </w:rPr>
                    </w:pPr>
                    <w:r>
                      <w:rPr>
                        <w:rFonts w:ascii="Arial" w:hAnsi="Arial"/>
                        <w:sz w:val="20"/>
                      </w:rPr>
                      <w:t>Tél. : +49 (0)5405 501-0 ∙ amazone@amazone.de ∙ www.amazone.</w:t>
                    </w:r>
                    <w:r w:rsidR="00394830">
                      <w:rPr>
                        <w:rFonts w:ascii="Arial" w:hAnsi="Arial"/>
                        <w:sz w:val="20"/>
                      </w:rPr>
                      <w: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rFonts w:ascii="Arial" w:hAnsi="Arial"/>
                              <w:color w:val="FFFFFF" w:themeColor="background1"/>
                              <w:sz w:val="28"/>
                            </w:rPr>
                            <w:t>Communiqué de presse Janvier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color w:val="FFFFFF" w:themeColor="background1"/>
                        <w:sz w:val="28"/>
                        <w:rFonts w:ascii="Arial" w:hAnsi="Arial"/>
                      </w:rPr>
                      <w:t xml:space="preserve">Communiqué de presse Janvier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830"/>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FE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9A7"/>
    <w:rsid w:val="009F7CB2"/>
    <w:rsid w:val="00A004DD"/>
    <w:rsid w:val="00A035AF"/>
    <w:rsid w:val="00A049A0"/>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4B47"/>
    <w:rsid w:val="00BA4D0F"/>
    <w:rsid w:val="00BA7C6D"/>
    <w:rsid w:val="00BB0614"/>
    <w:rsid w:val="00BB098E"/>
    <w:rsid w:val="00BB5AE4"/>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table" w:styleId="Tabellenraster">
    <w:name w:val="Table Grid"/>
    <w:basedOn w:val="NormaleTabelle"/>
    <w:uiPriority w:val="59"/>
    <w:rsid w:val="00BB5A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fr"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B29404-E6ED-456B-A2CC-F88A4E2A5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956</Words>
  <Characters>5402</Characters>
  <Application>Microsoft Office Word</Application>
  <DocSecurity>0</DocSecurity>
  <Lines>45</Lines>
  <Paragraphs>12</Paragraphs>
  <ScaleCrop>false</ScaleCrop>
  <HeadingPairs>
    <vt:vector size="6" baseType="variant">
      <vt:variant>
        <vt:lpstr>Titel</vt:lpstr>
      </vt:variant>
      <vt:variant>
        <vt:i4>1</vt:i4>
      </vt:variant>
      <vt:variant>
        <vt:lpstr>Título</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6346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2022-01-20T10:38:00Z</dcterms:created>
  <dcterms:modified xsi:type="dcterms:W3CDTF">2022-02-04T08:26:00Z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