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666" w:rsidRDefault="00BB60E5" w:rsidP="00A66E7F">
      <w:pPr>
        <w:spacing w:before="0" w:after="160" w:line="259" w:lineRule="auto"/>
        <w:rPr>
          <w:rFonts w:cs="Arial"/>
          <w:b/>
          <w:color w:val="000000"/>
          <w:sz w:val="40"/>
          <w:szCs w:val="80"/>
          <w:lang w:val="en-GB"/>
        </w:rPr>
      </w:pPr>
      <w:r w:rsidRPr="00BB60E5">
        <w:rPr>
          <w:rFonts w:cs="Arial"/>
          <w:b/>
          <w:noProof/>
          <w:color w:val="000000"/>
          <w:sz w:val="40"/>
          <w:szCs w:val="80"/>
          <w:lang w:val="en-GB" w:eastAsia="en-GB"/>
        </w:rPr>
        <w:drawing>
          <wp:anchor distT="0" distB="0" distL="114300" distR="114300" simplePos="0" relativeHeight="251658240" behindDoc="1" locked="0" layoutInCell="1" allowOverlap="0">
            <wp:simplePos x="0" y="0"/>
            <wp:positionH relativeFrom="column">
              <wp:posOffset>4213225</wp:posOffset>
            </wp:positionH>
            <wp:positionV relativeFrom="page">
              <wp:posOffset>1287145</wp:posOffset>
            </wp:positionV>
            <wp:extent cx="2124075" cy="2096770"/>
            <wp:effectExtent l="0" t="0" r="9525" b="0"/>
            <wp:wrapTight wrapText="bothSides">
              <wp:wrapPolygon edited="0">
                <wp:start x="0" y="0"/>
                <wp:lineTo x="0" y="21391"/>
                <wp:lineTo x="21503" y="21391"/>
                <wp:lineTo x="2150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24075" cy="20967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color w:val="000000"/>
          <w:sz w:val="40"/>
          <w:szCs w:val="80"/>
          <w:lang w:val="en-GB"/>
        </w:rPr>
        <w:t>Amazone to celebrate 40 years at this year’s Cereals Event</w:t>
      </w:r>
    </w:p>
    <w:p w:rsidR="00354FC0" w:rsidRDefault="00354FC0" w:rsidP="000B7666">
      <w:pPr>
        <w:spacing w:before="0" w:after="160" w:line="259" w:lineRule="auto"/>
        <w:jc w:val="center"/>
        <w:rPr>
          <w:rFonts w:cs="Arial"/>
          <w:b/>
          <w:color w:val="000000"/>
          <w:sz w:val="40"/>
          <w:szCs w:val="80"/>
          <w:lang w:val="en-GB"/>
        </w:rPr>
      </w:pPr>
    </w:p>
    <w:p w:rsidR="00580D57" w:rsidRDefault="00580D57" w:rsidP="00BB60E5">
      <w:pPr>
        <w:spacing w:before="0" w:after="160" w:line="360" w:lineRule="auto"/>
        <w:rPr>
          <w:rFonts w:cs="Arial"/>
          <w:color w:val="000000"/>
          <w:sz w:val="22"/>
          <w:lang w:val="en-GB"/>
        </w:rPr>
      </w:pPr>
    </w:p>
    <w:p w:rsidR="00580D57" w:rsidRDefault="00580D57" w:rsidP="00BB60E5">
      <w:pPr>
        <w:spacing w:before="0" w:after="160" w:line="360" w:lineRule="auto"/>
        <w:rPr>
          <w:rFonts w:cs="Arial"/>
          <w:color w:val="000000"/>
          <w:sz w:val="22"/>
          <w:lang w:val="en-GB"/>
        </w:rPr>
      </w:pPr>
    </w:p>
    <w:p w:rsidR="00580D57" w:rsidRDefault="00580D57" w:rsidP="00BB60E5">
      <w:pPr>
        <w:spacing w:before="0" w:after="160" w:line="360" w:lineRule="auto"/>
        <w:rPr>
          <w:rFonts w:cs="Arial"/>
          <w:color w:val="000000"/>
          <w:sz w:val="22"/>
          <w:lang w:val="en-GB"/>
        </w:rPr>
      </w:pPr>
    </w:p>
    <w:p w:rsidR="00CF09A7" w:rsidRDefault="00BB60E5" w:rsidP="00BB60E5">
      <w:pPr>
        <w:spacing w:before="0" w:after="160" w:line="360" w:lineRule="auto"/>
        <w:rPr>
          <w:rFonts w:cs="Arial"/>
          <w:color w:val="000000"/>
          <w:sz w:val="22"/>
          <w:lang w:val="en-GB"/>
        </w:rPr>
      </w:pPr>
      <w:r w:rsidRPr="00BB60E5">
        <w:rPr>
          <w:rFonts w:cs="Arial"/>
          <w:color w:val="000000"/>
          <w:sz w:val="22"/>
          <w:lang w:val="en-GB"/>
        </w:rPr>
        <w:t>Since its inauguration in 1983, AMAZONE Ltd has participated in the Cereals Event</w:t>
      </w:r>
      <w:r w:rsidR="00580D57">
        <w:rPr>
          <w:rFonts w:cs="Arial"/>
          <w:color w:val="000000"/>
          <w:sz w:val="22"/>
          <w:lang w:val="en-GB"/>
        </w:rPr>
        <w:t xml:space="preserve"> as it toured around the country in those early years before settling in the A1 corridor. The shape of the machines on show over those 40 years has certainly changed </w:t>
      </w:r>
      <w:r w:rsidR="00891649">
        <w:rPr>
          <w:rFonts w:cs="Arial"/>
          <w:color w:val="000000"/>
          <w:sz w:val="22"/>
          <w:lang w:val="en-GB"/>
        </w:rPr>
        <w:t>when we considered</w:t>
      </w:r>
      <w:r w:rsidR="00580D57">
        <w:rPr>
          <w:rFonts w:cs="Arial"/>
          <w:color w:val="000000"/>
          <w:sz w:val="22"/>
          <w:lang w:val="en-GB"/>
        </w:rPr>
        <w:t xml:space="preserve"> the ZA-U 1001 twin disc spreader and D7/30 EC-N convention</w:t>
      </w:r>
      <w:r w:rsidR="002B70D7">
        <w:rPr>
          <w:rFonts w:cs="Arial"/>
          <w:color w:val="000000"/>
          <w:sz w:val="22"/>
          <w:lang w:val="en-GB"/>
        </w:rPr>
        <w:t>al</w:t>
      </w:r>
      <w:r w:rsidR="00580D57">
        <w:rPr>
          <w:rFonts w:cs="Arial"/>
          <w:color w:val="000000"/>
          <w:sz w:val="22"/>
          <w:lang w:val="en-GB"/>
        </w:rPr>
        <w:t xml:space="preserve"> drill in combination with the REV 30 reciprocating harrow as the state-of-the-art products at that time</w:t>
      </w:r>
      <w:r w:rsidR="00330475">
        <w:rPr>
          <w:rFonts w:cs="Arial"/>
          <w:color w:val="000000"/>
          <w:sz w:val="22"/>
          <w:lang w:val="en-GB"/>
        </w:rPr>
        <w:t>.</w:t>
      </w:r>
      <w:r w:rsidR="00CF09A7">
        <w:rPr>
          <w:rFonts w:cs="Arial"/>
          <w:color w:val="000000"/>
          <w:sz w:val="22"/>
          <w:lang w:val="en-GB"/>
        </w:rPr>
        <w:t xml:space="preserve"> </w:t>
      </w:r>
      <w:r w:rsidR="001A3E59">
        <w:rPr>
          <w:rFonts w:cs="Arial"/>
          <w:color w:val="000000"/>
          <w:sz w:val="22"/>
          <w:lang w:val="en-GB"/>
        </w:rPr>
        <w:t xml:space="preserve">Nowadays we have the </w:t>
      </w:r>
      <w:r w:rsidR="00CF09A7">
        <w:rPr>
          <w:rFonts w:cs="Arial"/>
          <w:color w:val="000000"/>
          <w:sz w:val="22"/>
          <w:lang w:val="en-GB"/>
        </w:rPr>
        <w:t xml:space="preserve">15 metre wide </w:t>
      </w:r>
      <w:r w:rsidR="001A3E59">
        <w:rPr>
          <w:rFonts w:cs="Arial"/>
          <w:color w:val="000000"/>
          <w:sz w:val="22"/>
          <w:lang w:val="en-GB"/>
        </w:rPr>
        <w:t>Condor 15001-C direct tine seeder</w:t>
      </w:r>
      <w:r w:rsidR="00CF09A7">
        <w:rPr>
          <w:rFonts w:cs="Arial"/>
          <w:color w:val="000000"/>
          <w:sz w:val="22"/>
          <w:lang w:val="en-GB"/>
        </w:rPr>
        <w:t>, the ZA-TS spreaders capable of spreading up to 54m</w:t>
      </w:r>
      <w:r w:rsidR="002B70D7">
        <w:rPr>
          <w:rFonts w:cs="Arial"/>
          <w:color w:val="000000"/>
          <w:sz w:val="22"/>
          <w:lang w:val="en-GB"/>
        </w:rPr>
        <w:t xml:space="preserve">, </w:t>
      </w:r>
      <w:r w:rsidR="00CF09A7">
        <w:rPr>
          <w:rFonts w:cs="Arial"/>
          <w:color w:val="000000"/>
          <w:sz w:val="22"/>
          <w:lang w:val="en-GB"/>
        </w:rPr>
        <w:t xml:space="preserve">work rates up to 60 ha/h </w:t>
      </w:r>
      <w:r w:rsidR="002B70D7">
        <w:rPr>
          <w:rFonts w:cs="Arial"/>
          <w:color w:val="000000"/>
          <w:sz w:val="22"/>
          <w:lang w:val="en-GB"/>
        </w:rPr>
        <w:t xml:space="preserve">and </w:t>
      </w:r>
      <w:r w:rsidR="00CF09A7">
        <w:rPr>
          <w:rFonts w:cs="Arial"/>
          <w:color w:val="000000"/>
          <w:sz w:val="22"/>
          <w:lang w:val="en-GB"/>
        </w:rPr>
        <w:t>with spread pattern accuracy monitored by radar a</w:t>
      </w:r>
      <w:r w:rsidR="00891649">
        <w:rPr>
          <w:rFonts w:cs="Arial"/>
          <w:color w:val="000000"/>
          <w:sz w:val="22"/>
          <w:lang w:val="en-GB"/>
        </w:rPr>
        <w:t xml:space="preserve">long with </w:t>
      </w:r>
      <w:r w:rsidR="00CF09A7">
        <w:rPr>
          <w:rFonts w:cs="Arial"/>
          <w:color w:val="000000"/>
          <w:sz w:val="22"/>
          <w:lang w:val="en-GB"/>
        </w:rPr>
        <w:t xml:space="preserve">wind speed and direction catered for during spreading. Spraying moves rapidly towards plant by plant application with </w:t>
      </w:r>
      <w:r w:rsidR="00891649">
        <w:rPr>
          <w:rFonts w:cs="Arial"/>
          <w:color w:val="000000"/>
          <w:sz w:val="22"/>
          <w:lang w:val="en-GB"/>
        </w:rPr>
        <w:t xml:space="preserve">the </w:t>
      </w:r>
      <w:r w:rsidR="00CF09A7">
        <w:rPr>
          <w:rFonts w:cs="Arial"/>
          <w:color w:val="000000"/>
          <w:sz w:val="22"/>
          <w:lang w:val="en-GB"/>
        </w:rPr>
        <w:t>realisation of spot spraying and DirectInject.</w:t>
      </w:r>
    </w:p>
    <w:p w:rsidR="00330475" w:rsidRDefault="00407CAC" w:rsidP="00BB60E5">
      <w:pPr>
        <w:spacing w:before="0" w:after="160" w:line="360" w:lineRule="auto"/>
        <w:rPr>
          <w:rFonts w:cs="Arial"/>
          <w:color w:val="000000"/>
          <w:sz w:val="22"/>
          <w:lang w:val="en-GB"/>
        </w:rPr>
      </w:pPr>
      <w:r w:rsidRPr="001A3E59">
        <w:rPr>
          <w:rFonts w:cs="Arial"/>
          <w:color w:val="000000"/>
          <w:sz w:val="22"/>
          <w:lang w:val="en-GB"/>
        </w:rPr>
        <w:t>As part of their 4</w:t>
      </w:r>
      <w:r>
        <w:rPr>
          <w:rFonts w:cs="Arial"/>
          <w:color w:val="000000"/>
          <w:sz w:val="22"/>
          <w:lang w:val="en-GB"/>
        </w:rPr>
        <w:t>0 year anniversary celebration,</w:t>
      </w:r>
      <w:r w:rsidR="00A00176">
        <w:rPr>
          <w:rFonts w:cs="Arial"/>
          <w:color w:val="000000"/>
          <w:sz w:val="22"/>
          <w:lang w:val="en-GB"/>
        </w:rPr>
        <w:t xml:space="preserve"> and to compliment the </w:t>
      </w:r>
      <w:r w:rsidR="00891649">
        <w:rPr>
          <w:rFonts w:cs="Arial"/>
          <w:color w:val="000000"/>
          <w:sz w:val="22"/>
          <w:lang w:val="en-GB"/>
        </w:rPr>
        <w:t xml:space="preserve">usual impressive array of </w:t>
      </w:r>
      <w:r w:rsidR="00A00176">
        <w:rPr>
          <w:rFonts w:cs="Arial"/>
          <w:color w:val="000000"/>
          <w:sz w:val="22"/>
          <w:lang w:val="en-GB"/>
        </w:rPr>
        <w:t xml:space="preserve">cultivation, seeding, spraying and fertilising kit, </w:t>
      </w:r>
      <w:r w:rsidRPr="001A3E59">
        <w:rPr>
          <w:rFonts w:cs="Arial"/>
          <w:color w:val="000000"/>
          <w:sz w:val="22"/>
          <w:lang w:val="en-GB"/>
        </w:rPr>
        <w:t>this year’s Cereals Event will see AMAZONE open up its Stand</w:t>
      </w:r>
      <w:r>
        <w:rPr>
          <w:rFonts w:cs="Arial"/>
          <w:color w:val="000000"/>
          <w:sz w:val="22"/>
          <w:lang w:val="en-GB"/>
        </w:rPr>
        <w:t xml:space="preserve"> </w:t>
      </w:r>
      <w:r w:rsidR="00A00176">
        <w:rPr>
          <w:rFonts w:cs="Arial"/>
          <w:color w:val="000000"/>
          <w:sz w:val="22"/>
          <w:lang w:val="en-GB"/>
        </w:rPr>
        <w:t>948 to an exhibition of its machinery development over the last 40 years along</w:t>
      </w:r>
      <w:r w:rsidR="008B70FE">
        <w:rPr>
          <w:rFonts w:cs="Arial"/>
          <w:color w:val="000000"/>
          <w:sz w:val="22"/>
          <w:lang w:val="en-GB"/>
        </w:rPr>
        <w:t xml:space="preserve"> with an open-house </w:t>
      </w:r>
      <w:r w:rsidR="00A00176">
        <w:rPr>
          <w:rFonts w:cs="Arial"/>
          <w:color w:val="000000"/>
          <w:sz w:val="22"/>
          <w:lang w:val="en-GB"/>
        </w:rPr>
        <w:t xml:space="preserve">seminar programme </w:t>
      </w:r>
      <w:r w:rsidR="008B70FE">
        <w:rPr>
          <w:rFonts w:cs="Arial"/>
          <w:color w:val="000000"/>
          <w:sz w:val="22"/>
          <w:lang w:val="en-GB"/>
        </w:rPr>
        <w:t xml:space="preserve">starting </w:t>
      </w:r>
      <w:r w:rsidR="00A00176">
        <w:rPr>
          <w:rFonts w:cs="Arial"/>
          <w:color w:val="000000"/>
          <w:sz w:val="22"/>
          <w:lang w:val="en-GB"/>
        </w:rPr>
        <w:t>each day at 11am and running throughout the middle of the day. These seminars, given by industry-leading experts, will offer visitors to the Stand the chance to catch up on the latest thinking behind crop establishment and crop care demands.</w:t>
      </w:r>
    </w:p>
    <w:p w:rsidR="00330475" w:rsidRDefault="00330475" w:rsidP="00BB60E5">
      <w:pPr>
        <w:spacing w:before="0" w:after="160" w:line="360" w:lineRule="auto"/>
        <w:rPr>
          <w:rFonts w:cs="Arial"/>
          <w:color w:val="000000"/>
          <w:sz w:val="22"/>
          <w:lang w:val="en-GB"/>
        </w:rPr>
      </w:pPr>
    </w:p>
    <w:p w:rsidR="00330475" w:rsidRDefault="00A00176" w:rsidP="00BB60E5">
      <w:pPr>
        <w:spacing w:before="0" w:after="160" w:line="360" w:lineRule="auto"/>
        <w:rPr>
          <w:rFonts w:cs="Arial"/>
          <w:color w:val="000000"/>
          <w:sz w:val="22"/>
          <w:lang w:val="en-GB"/>
        </w:rPr>
      </w:pPr>
      <w:r>
        <w:rPr>
          <w:rFonts w:cs="Arial"/>
          <w:color w:val="000000"/>
          <w:sz w:val="22"/>
          <w:lang w:val="en-GB"/>
        </w:rPr>
        <w:t>With regard to n</w:t>
      </w:r>
      <w:r w:rsidR="00330475">
        <w:rPr>
          <w:rFonts w:cs="Arial"/>
          <w:color w:val="000000"/>
          <w:sz w:val="22"/>
          <w:lang w:val="en-GB"/>
        </w:rPr>
        <w:t xml:space="preserve">ew </w:t>
      </w:r>
      <w:r>
        <w:rPr>
          <w:rFonts w:cs="Arial"/>
          <w:color w:val="000000"/>
          <w:sz w:val="22"/>
          <w:lang w:val="en-GB"/>
        </w:rPr>
        <w:t>kit</w:t>
      </w:r>
      <w:r w:rsidR="00407CAC">
        <w:rPr>
          <w:rFonts w:cs="Arial"/>
          <w:color w:val="000000"/>
          <w:sz w:val="22"/>
          <w:lang w:val="en-GB"/>
        </w:rPr>
        <w:t xml:space="preserve"> a</w:t>
      </w:r>
      <w:r w:rsidR="00330475">
        <w:rPr>
          <w:rFonts w:cs="Arial"/>
          <w:color w:val="000000"/>
          <w:sz w:val="22"/>
          <w:lang w:val="en-GB"/>
        </w:rPr>
        <w:t>t this year’s event</w:t>
      </w:r>
      <w:r w:rsidR="00407CAC">
        <w:rPr>
          <w:rFonts w:cs="Arial"/>
          <w:color w:val="000000"/>
          <w:sz w:val="22"/>
          <w:lang w:val="en-GB"/>
        </w:rPr>
        <w:t>, there</w:t>
      </w:r>
      <w:r w:rsidR="00330475">
        <w:rPr>
          <w:rFonts w:cs="Arial"/>
          <w:color w:val="000000"/>
          <w:sz w:val="22"/>
          <w:lang w:val="en-GB"/>
        </w:rPr>
        <w:t xml:space="preserve"> will be </w:t>
      </w:r>
      <w:r w:rsidR="008B70FE">
        <w:rPr>
          <w:rFonts w:cs="Arial"/>
          <w:color w:val="000000"/>
          <w:sz w:val="22"/>
          <w:lang w:val="en-GB"/>
        </w:rPr>
        <w:t xml:space="preserve">four distinctive </w:t>
      </w:r>
      <w:r w:rsidR="00330475">
        <w:rPr>
          <w:rFonts w:cs="Arial"/>
          <w:color w:val="000000"/>
          <w:sz w:val="22"/>
          <w:lang w:val="en-GB"/>
        </w:rPr>
        <w:t>additions to the Amazone line-up</w:t>
      </w:r>
      <w:r w:rsidR="007D1F47">
        <w:rPr>
          <w:rFonts w:cs="Arial"/>
          <w:color w:val="000000"/>
          <w:sz w:val="22"/>
          <w:lang w:val="en-GB"/>
        </w:rPr>
        <w:t>:</w:t>
      </w:r>
    </w:p>
    <w:p w:rsidR="001A3E59" w:rsidRPr="00A00176" w:rsidRDefault="001A3E59" w:rsidP="001A3E59">
      <w:pPr>
        <w:spacing w:before="0" w:after="160" w:line="360" w:lineRule="auto"/>
        <w:rPr>
          <w:rFonts w:cs="Arial"/>
          <w:b/>
          <w:color w:val="000000"/>
          <w:sz w:val="28"/>
          <w:lang w:val="en-GB"/>
        </w:rPr>
      </w:pPr>
      <w:r w:rsidRPr="00A00176">
        <w:rPr>
          <w:rFonts w:cs="Arial"/>
          <w:b/>
          <w:color w:val="000000"/>
          <w:sz w:val="28"/>
          <w:lang w:val="en-GB"/>
        </w:rPr>
        <w:t xml:space="preserve">Amazone to showcase Schmotzer hoes at the Cereals Event </w:t>
      </w:r>
    </w:p>
    <w:p w:rsidR="00A00176" w:rsidRDefault="001A3E59" w:rsidP="001A3E59">
      <w:pPr>
        <w:spacing w:before="0" w:after="160" w:line="360" w:lineRule="auto"/>
        <w:rPr>
          <w:rFonts w:cs="Arial"/>
          <w:color w:val="000000"/>
          <w:sz w:val="22"/>
          <w:lang w:val="en-GB"/>
        </w:rPr>
      </w:pPr>
      <w:r w:rsidRPr="001A3E59">
        <w:rPr>
          <w:rFonts w:cs="Arial"/>
          <w:color w:val="000000"/>
          <w:sz w:val="22"/>
          <w:lang w:val="en-GB"/>
        </w:rPr>
        <w:t xml:space="preserve">Schmotzer has been manufacturing quality hoes for almost 100 years and, following its takeover, is now part of the AMAZONE Group. The Cereals Event will mark the launch of the brand in Britain where the new Venterra 2K series hoes will be on the Stand. </w:t>
      </w:r>
    </w:p>
    <w:p w:rsidR="001A3E59" w:rsidRPr="001A3E59" w:rsidRDefault="001A3E59" w:rsidP="001A3E59">
      <w:pPr>
        <w:spacing w:before="0" w:after="160" w:line="360" w:lineRule="auto"/>
        <w:rPr>
          <w:rFonts w:cs="Arial"/>
          <w:color w:val="000000"/>
          <w:sz w:val="22"/>
          <w:lang w:val="en-GB"/>
        </w:rPr>
      </w:pPr>
      <w:r w:rsidRPr="001A3E59">
        <w:rPr>
          <w:rFonts w:cs="Arial"/>
          <w:color w:val="000000"/>
          <w:sz w:val="22"/>
          <w:lang w:val="en-GB"/>
        </w:rPr>
        <w:t xml:space="preserve">The key feature of the Venterra is its ability to be used over longer periods due to </w:t>
      </w:r>
      <w:r w:rsidR="00891649">
        <w:rPr>
          <w:rFonts w:cs="Arial"/>
          <w:color w:val="000000"/>
          <w:sz w:val="22"/>
          <w:lang w:val="en-GB"/>
        </w:rPr>
        <w:t>its</w:t>
      </w:r>
      <w:r w:rsidRPr="001A3E59">
        <w:rPr>
          <w:rFonts w:cs="Arial"/>
          <w:color w:val="000000"/>
          <w:sz w:val="22"/>
          <w:lang w:val="en-GB"/>
        </w:rPr>
        <w:t xml:space="preserve"> deep underframe clearance and increased lift out height enabling </w:t>
      </w:r>
      <w:r w:rsidR="00891649">
        <w:rPr>
          <w:rFonts w:cs="Arial"/>
          <w:color w:val="000000"/>
          <w:sz w:val="22"/>
          <w:lang w:val="en-GB"/>
        </w:rPr>
        <w:t xml:space="preserve">the </w:t>
      </w:r>
      <w:r w:rsidRPr="001A3E59">
        <w:rPr>
          <w:rFonts w:cs="Arial"/>
          <w:color w:val="000000"/>
          <w:sz w:val="22"/>
          <w:lang w:val="en-GB"/>
        </w:rPr>
        <w:t>continuing use</w:t>
      </w:r>
      <w:r w:rsidR="00891649">
        <w:rPr>
          <w:rFonts w:cs="Arial"/>
          <w:color w:val="000000"/>
          <w:sz w:val="22"/>
          <w:lang w:val="en-GB"/>
        </w:rPr>
        <w:t xml:space="preserve"> of the hoe during the growing season</w:t>
      </w:r>
      <w:r w:rsidRPr="001A3E59">
        <w:rPr>
          <w:rFonts w:cs="Arial"/>
          <w:color w:val="000000"/>
          <w:sz w:val="22"/>
          <w:lang w:val="en-GB"/>
        </w:rPr>
        <w:t xml:space="preserve"> in crops </w:t>
      </w:r>
      <w:r w:rsidRPr="001A3E59">
        <w:rPr>
          <w:rFonts w:cs="Arial"/>
          <w:color w:val="000000"/>
          <w:sz w:val="22"/>
          <w:lang w:val="en-GB"/>
        </w:rPr>
        <w:lastRenderedPageBreak/>
        <w:t>of up to 50 cm high</w:t>
      </w:r>
      <w:r w:rsidR="00891649">
        <w:rPr>
          <w:rFonts w:cs="Arial"/>
          <w:color w:val="000000"/>
          <w:sz w:val="22"/>
          <w:lang w:val="en-GB"/>
        </w:rPr>
        <w:t>;</w:t>
      </w:r>
      <w:r w:rsidRPr="001A3E59">
        <w:rPr>
          <w:rFonts w:cs="Arial"/>
          <w:color w:val="000000"/>
          <w:sz w:val="22"/>
          <w:lang w:val="en-GB"/>
        </w:rPr>
        <w:t xml:space="preserve"> even when coming out of short work into the headland and using GPS SectionControl to lift out each tine element individually. The machine is compact, with a close centre of gravity, to reduce soil compaction, both in work and when turning.</w:t>
      </w:r>
    </w:p>
    <w:p w:rsidR="001A3E59" w:rsidRPr="001A3E59" w:rsidRDefault="001A3E59" w:rsidP="001A3E59">
      <w:pPr>
        <w:spacing w:before="0" w:after="160" w:line="360" w:lineRule="auto"/>
        <w:rPr>
          <w:rFonts w:cs="Arial"/>
          <w:color w:val="000000"/>
          <w:sz w:val="22"/>
          <w:lang w:val="en-GB"/>
        </w:rPr>
      </w:pPr>
      <w:r w:rsidRPr="001A3E59">
        <w:rPr>
          <w:rFonts w:cs="Arial"/>
          <w:color w:val="000000"/>
          <w:sz w:val="22"/>
          <w:lang w:val="en-GB"/>
        </w:rPr>
        <w:t>In working widths of 4.5  to 6.75 m and able to cope with row widths from 45</w:t>
      </w:r>
      <w:r w:rsidR="00407CAC">
        <w:rPr>
          <w:rFonts w:cs="Arial"/>
          <w:color w:val="000000"/>
          <w:sz w:val="22"/>
          <w:lang w:val="en-GB"/>
        </w:rPr>
        <w:t xml:space="preserve"> </w:t>
      </w:r>
      <w:r w:rsidRPr="001A3E59">
        <w:rPr>
          <w:rFonts w:cs="Arial"/>
          <w:color w:val="000000"/>
          <w:sz w:val="22"/>
          <w:lang w:val="en-GB"/>
        </w:rPr>
        <w:t xml:space="preserve">cm up to 75 cm, the hoe is ideal for maize, sugar beet or any other row crop. The Venterra 2K is guided between the rows using </w:t>
      </w:r>
      <w:r w:rsidR="008B70FE">
        <w:rPr>
          <w:rFonts w:cs="Arial"/>
          <w:color w:val="000000"/>
          <w:sz w:val="22"/>
          <w:lang w:val="en-GB"/>
        </w:rPr>
        <w:t xml:space="preserve">the </w:t>
      </w:r>
      <w:r w:rsidR="00407CAC">
        <w:rPr>
          <w:rFonts w:cs="Arial"/>
          <w:color w:val="000000"/>
          <w:sz w:val="22"/>
          <w:lang w:val="en-GB"/>
        </w:rPr>
        <w:t xml:space="preserve">HORUS </w:t>
      </w:r>
      <w:r w:rsidR="008B70FE">
        <w:rPr>
          <w:rFonts w:cs="Arial"/>
          <w:color w:val="000000"/>
          <w:sz w:val="22"/>
          <w:lang w:val="en-GB"/>
        </w:rPr>
        <w:t>P</w:t>
      </w:r>
      <w:r w:rsidR="00407CAC">
        <w:rPr>
          <w:rFonts w:cs="Arial"/>
          <w:color w:val="000000"/>
          <w:sz w:val="22"/>
          <w:lang w:val="en-GB"/>
        </w:rPr>
        <w:t xml:space="preserve">ro </w:t>
      </w:r>
      <w:r w:rsidRPr="001A3E59">
        <w:rPr>
          <w:rFonts w:cs="Arial"/>
          <w:color w:val="000000"/>
          <w:sz w:val="22"/>
          <w:lang w:val="en-GB"/>
        </w:rPr>
        <w:t xml:space="preserve">camera set-up which provides precise guidance even at high forward speeds meaning potentially higher work rates per day. Downtime is minimised by the RAPIDO quick-change blade system. </w:t>
      </w:r>
      <w:r w:rsidR="008B70FE">
        <w:rPr>
          <w:rFonts w:cs="Arial"/>
          <w:color w:val="000000"/>
          <w:sz w:val="22"/>
          <w:lang w:val="en-GB"/>
        </w:rPr>
        <w:t xml:space="preserve">Additional tools, such as row protectors and following harrows can be easy added if required. </w:t>
      </w:r>
      <w:r w:rsidRPr="001A3E59">
        <w:rPr>
          <w:rFonts w:cs="Arial"/>
          <w:color w:val="000000"/>
          <w:sz w:val="22"/>
          <w:lang w:val="en-GB"/>
        </w:rPr>
        <w:t xml:space="preserve">The parallelograms are equipped with maintenance-free bearings for </w:t>
      </w:r>
      <w:r w:rsidR="008B70FE">
        <w:rPr>
          <w:rFonts w:cs="Arial"/>
          <w:color w:val="000000"/>
          <w:sz w:val="22"/>
          <w:lang w:val="en-GB"/>
        </w:rPr>
        <w:t xml:space="preserve">the </w:t>
      </w:r>
      <w:r w:rsidRPr="001A3E59">
        <w:rPr>
          <w:rFonts w:cs="Arial"/>
          <w:color w:val="000000"/>
          <w:sz w:val="22"/>
          <w:lang w:val="en-GB"/>
        </w:rPr>
        <w:t xml:space="preserve">minimum </w:t>
      </w:r>
      <w:r w:rsidR="008B70FE">
        <w:rPr>
          <w:rFonts w:cs="Arial"/>
          <w:color w:val="000000"/>
          <w:sz w:val="22"/>
          <w:lang w:val="en-GB"/>
        </w:rPr>
        <w:t xml:space="preserve">of </w:t>
      </w:r>
      <w:r w:rsidRPr="001A3E59">
        <w:rPr>
          <w:rFonts w:cs="Arial"/>
          <w:color w:val="000000"/>
          <w:sz w:val="22"/>
          <w:lang w:val="en-GB"/>
        </w:rPr>
        <w:t>stoppages.</w:t>
      </w:r>
      <w:r w:rsidR="008B70FE" w:rsidRPr="008B70FE">
        <w:rPr>
          <w:rFonts w:cs="Arial"/>
          <w:noProof/>
          <w:color w:val="000000"/>
          <w:sz w:val="22"/>
          <w:lang w:val="en-GB" w:eastAsia="en-GB"/>
        </w:rPr>
        <w:t xml:space="preserve"> </w:t>
      </w:r>
    </w:p>
    <w:p w:rsidR="001A3E59" w:rsidRPr="001A3E59" w:rsidRDefault="001A3E59" w:rsidP="001A3E59">
      <w:pPr>
        <w:spacing w:before="0" w:after="160" w:line="360" w:lineRule="auto"/>
        <w:rPr>
          <w:rFonts w:cs="Arial"/>
          <w:color w:val="000000"/>
          <w:sz w:val="22"/>
          <w:lang w:val="en-GB"/>
        </w:rPr>
      </w:pPr>
      <w:r w:rsidRPr="001A3E59">
        <w:rPr>
          <w:rFonts w:cs="Arial"/>
          <w:color w:val="000000"/>
          <w:sz w:val="22"/>
          <w:lang w:val="en-GB"/>
        </w:rPr>
        <w:t xml:space="preserve">The multi-purpose, interchangeable tool system means that the hoe can be set up for a number of different functions with trailing tools such as ridging discs or finger wheels being mounted on a separate parallelogram for improved contour following. </w:t>
      </w:r>
    </w:p>
    <w:p w:rsidR="001A3E59" w:rsidRDefault="008B70FE" w:rsidP="00BB60E5">
      <w:pPr>
        <w:spacing w:before="0" w:after="160" w:line="360" w:lineRule="auto"/>
        <w:rPr>
          <w:rFonts w:cs="Arial"/>
          <w:color w:val="000000"/>
          <w:sz w:val="22"/>
          <w:lang w:val="en-GB"/>
        </w:rPr>
      </w:pPr>
      <w:bookmarkStart w:id="0" w:name="_GoBack"/>
      <w:r>
        <w:rPr>
          <w:rFonts w:cs="Arial"/>
          <w:noProof/>
          <w:color w:val="000000"/>
          <w:sz w:val="22"/>
          <w:lang w:val="en-GB" w:eastAsia="en-GB"/>
        </w:rPr>
        <w:drawing>
          <wp:inline distT="0" distB="0" distL="0" distR="0" wp14:anchorId="47D8F027" wp14:editId="6881D63E">
            <wp:extent cx="4610100" cy="37887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90_01.jpg"/>
                    <pic:cNvPicPr/>
                  </pic:nvPicPr>
                  <pic:blipFill>
                    <a:blip r:embed="rId9" cstate="email">
                      <a:extLst>
                        <a:ext uri="{28A0092B-C50C-407E-A947-70E740481C1C}">
                          <a14:useLocalDpi xmlns:a14="http://schemas.microsoft.com/office/drawing/2010/main"/>
                        </a:ext>
                      </a:extLst>
                    </a:blip>
                    <a:stretch>
                      <a:fillRect/>
                    </a:stretch>
                  </pic:blipFill>
                  <pic:spPr>
                    <a:xfrm>
                      <a:off x="0" y="0"/>
                      <a:ext cx="4611761" cy="3790075"/>
                    </a:xfrm>
                    <a:prstGeom prst="rect">
                      <a:avLst/>
                    </a:prstGeom>
                  </pic:spPr>
                </pic:pic>
              </a:graphicData>
            </a:graphic>
          </wp:inline>
        </w:drawing>
      </w:r>
      <w:bookmarkEnd w:id="0"/>
    </w:p>
    <w:p w:rsidR="008B70FE" w:rsidRPr="008B70FE" w:rsidRDefault="008B70FE" w:rsidP="00BB60E5">
      <w:pPr>
        <w:spacing w:before="0" w:after="160" w:line="360" w:lineRule="auto"/>
        <w:rPr>
          <w:rFonts w:cs="Arial"/>
          <w:i/>
          <w:color w:val="000000"/>
          <w:sz w:val="18"/>
          <w:lang w:val="en-GB"/>
        </w:rPr>
      </w:pPr>
      <w:r w:rsidRPr="008B70FE">
        <w:rPr>
          <w:rFonts w:cs="Arial"/>
          <w:i/>
          <w:color w:val="000000"/>
          <w:sz w:val="18"/>
          <w:lang w:val="en-GB"/>
        </w:rPr>
        <w:t>The new Venterra K2 KPP-L SC inter-row hoe working in sugar beet</w:t>
      </w:r>
    </w:p>
    <w:p w:rsidR="001A3E59" w:rsidRDefault="001A3E59" w:rsidP="00BB60E5">
      <w:pPr>
        <w:spacing w:before="0" w:after="160" w:line="360" w:lineRule="auto"/>
        <w:rPr>
          <w:rFonts w:cs="Arial"/>
          <w:color w:val="000000"/>
          <w:sz w:val="22"/>
          <w:lang w:val="en-GB"/>
        </w:rPr>
      </w:pPr>
    </w:p>
    <w:p w:rsidR="008B70FE" w:rsidRDefault="008B70FE" w:rsidP="00BB60E5">
      <w:pPr>
        <w:spacing w:before="0" w:after="160" w:line="360" w:lineRule="auto"/>
        <w:rPr>
          <w:rFonts w:cs="Arial"/>
          <w:color w:val="000000"/>
          <w:sz w:val="22"/>
          <w:lang w:val="en-GB"/>
        </w:rPr>
      </w:pPr>
    </w:p>
    <w:p w:rsidR="00330475" w:rsidRPr="00A00176" w:rsidRDefault="00330475" w:rsidP="00330475">
      <w:pPr>
        <w:spacing w:before="0" w:after="160" w:line="360" w:lineRule="auto"/>
        <w:rPr>
          <w:rFonts w:cs="Arial"/>
          <w:b/>
          <w:color w:val="000000"/>
          <w:sz w:val="28"/>
          <w:lang w:val="en-GB"/>
        </w:rPr>
      </w:pPr>
      <w:r w:rsidRPr="00A00176">
        <w:rPr>
          <w:rFonts w:cs="Arial"/>
          <w:b/>
          <w:color w:val="000000"/>
          <w:sz w:val="28"/>
          <w:lang w:val="en-GB"/>
        </w:rPr>
        <w:lastRenderedPageBreak/>
        <w:t>The new AMAZONE 02 Rotamix rotary harrows</w:t>
      </w:r>
    </w:p>
    <w:p w:rsidR="00330475" w:rsidRPr="00330475" w:rsidRDefault="00A00176" w:rsidP="00330475">
      <w:pPr>
        <w:spacing w:before="0" w:after="160" w:line="360" w:lineRule="auto"/>
        <w:rPr>
          <w:rFonts w:cs="Arial"/>
          <w:color w:val="000000"/>
          <w:sz w:val="22"/>
          <w:lang w:val="en-GB"/>
        </w:rPr>
      </w:pPr>
      <w:r>
        <w:rPr>
          <w:rFonts w:cs="Arial"/>
          <w:color w:val="000000"/>
          <w:sz w:val="22"/>
          <w:lang w:val="en-GB"/>
        </w:rPr>
        <w:t>The new KE 02 Rotamix rotary harrows span working widths from 2.5 m up to 4.0 m rigid and for tractors from 150 hp through to 240 hp. Now, new o</w:t>
      </w:r>
      <w:r w:rsidR="00330475">
        <w:rPr>
          <w:rFonts w:cs="Arial"/>
          <w:color w:val="000000"/>
          <w:sz w:val="22"/>
          <w:lang w:val="en-GB"/>
        </w:rPr>
        <w:t xml:space="preserve">n the stand for first time will be the </w:t>
      </w:r>
      <w:r>
        <w:rPr>
          <w:rFonts w:cs="Arial"/>
          <w:color w:val="000000"/>
          <w:sz w:val="22"/>
          <w:lang w:val="en-GB"/>
        </w:rPr>
        <w:t xml:space="preserve">flagship </w:t>
      </w:r>
      <w:r w:rsidR="00330475" w:rsidRPr="00330475">
        <w:rPr>
          <w:rFonts w:cs="Arial"/>
          <w:color w:val="000000"/>
          <w:sz w:val="22"/>
          <w:lang w:val="en-GB"/>
        </w:rPr>
        <w:t>KE 6002-2 400 Rotamix</w:t>
      </w:r>
      <w:r w:rsidR="007D1F47" w:rsidRPr="007D1F47">
        <w:rPr>
          <w:rFonts w:cs="Arial"/>
          <w:color w:val="000000"/>
          <w:sz w:val="22"/>
          <w:lang w:val="en-GB"/>
        </w:rPr>
        <w:t xml:space="preserve"> </w:t>
      </w:r>
      <w:r w:rsidR="007D1F47" w:rsidRPr="00330475">
        <w:rPr>
          <w:rFonts w:cs="Arial"/>
          <w:color w:val="000000"/>
          <w:sz w:val="22"/>
          <w:lang w:val="en-GB"/>
        </w:rPr>
        <w:t>folding</w:t>
      </w:r>
      <w:r w:rsidR="00330475" w:rsidRPr="00330475">
        <w:rPr>
          <w:rFonts w:cs="Arial"/>
          <w:color w:val="000000"/>
          <w:sz w:val="22"/>
          <w:lang w:val="en-GB"/>
        </w:rPr>
        <w:t xml:space="preserve"> </w:t>
      </w:r>
      <w:r w:rsidR="007D1F47">
        <w:rPr>
          <w:rFonts w:cs="Arial"/>
          <w:color w:val="000000"/>
          <w:sz w:val="22"/>
          <w:lang w:val="en-GB"/>
        </w:rPr>
        <w:t>rotary harrow.</w:t>
      </w:r>
      <w:r w:rsidR="007D1F47" w:rsidRPr="007D1F47">
        <w:rPr>
          <w:rFonts w:cs="Arial"/>
          <w:color w:val="000000"/>
          <w:sz w:val="22"/>
          <w:lang w:val="en-GB"/>
        </w:rPr>
        <w:t xml:space="preserve"> </w:t>
      </w:r>
      <w:r w:rsidR="007D1F47">
        <w:rPr>
          <w:rFonts w:cs="Arial"/>
          <w:color w:val="000000"/>
          <w:sz w:val="22"/>
          <w:lang w:val="en-GB"/>
        </w:rPr>
        <w:t xml:space="preserve">Designed </w:t>
      </w:r>
      <w:r w:rsidR="007D1F47" w:rsidRPr="00330475">
        <w:rPr>
          <w:rFonts w:cs="Arial"/>
          <w:color w:val="000000"/>
          <w:sz w:val="22"/>
          <w:lang w:val="en-GB"/>
        </w:rPr>
        <w:t>for solo use</w:t>
      </w:r>
      <w:r w:rsidR="00407CAC">
        <w:rPr>
          <w:rFonts w:cs="Arial"/>
          <w:color w:val="000000"/>
          <w:sz w:val="22"/>
          <w:lang w:val="en-GB"/>
        </w:rPr>
        <w:t xml:space="preserve"> only</w:t>
      </w:r>
      <w:r w:rsidR="007D1F47">
        <w:rPr>
          <w:rFonts w:cs="Arial"/>
          <w:color w:val="000000"/>
          <w:sz w:val="22"/>
          <w:lang w:val="en-GB"/>
        </w:rPr>
        <w:t>,</w:t>
      </w:r>
      <w:r w:rsidR="007D1F47" w:rsidRPr="00330475">
        <w:rPr>
          <w:rFonts w:cs="Arial"/>
          <w:color w:val="000000"/>
          <w:sz w:val="22"/>
          <w:lang w:val="en-GB"/>
        </w:rPr>
        <w:t xml:space="preserve"> </w:t>
      </w:r>
      <w:r w:rsidR="007D1F47">
        <w:rPr>
          <w:rFonts w:cs="Arial"/>
          <w:color w:val="000000"/>
          <w:sz w:val="22"/>
          <w:lang w:val="en-GB"/>
        </w:rPr>
        <w:t xml:space="preserve">the </w:t>
      </w:r>
      <w:r w:rsidR="00330475" w:rsidRPr="00330475">
        <w:rPr>
          <w:rFonts w:cs="Arial"/>
          <w:color w:val="000000"/>
          <w:sz w:val="22"/>
          <w:lang w:val="en-GB"/>
        </w:rPr>
        <w:t>6 m</w:t>
      </w:r>
      <w:r w:rsidR="00371383">
        <w:rPr>
          <w:rFonts w:cs="Arial"/>
          <w:color w:val="000000"/>
          <w:sz w:val="22"/>
          <w:lang w:val="en-GB"/>
        </w:rPr>
        <w:t>etre</w:t>
      </w:r>
      <w:r w:rsidR="00330475">
        <w:rPr>
          <w:rFonts w:cs="Arial"/>
          <w:color w:val="000000"/>
          <w:sz w:val="22"/>
          <w:lang w:val="en-GB"/>
        </w:rPr>
        <w:t xml:space="preserve"> </w:t>
      </w:r>
      <w:r w:rsidR="007D1F47">
        <w:rPr>
          <w:rFonts w:cs="Arial"/>
          <w:color w:val="000000"/>
          <w:sz w:val="22"/>
          <w:lang w:val="en-GB"/>
        </w:rPr>
        <w:t xml:space="preserve">KE 6002-2 is </w:t>
      </w:r>
      <w:r w:rsidR="00330475" w:rsidRPr="00330475">
        <w:rPr>
          <w:rFonts w:cs="Arial"/>
          <w:color w:val="000000"/>
          <w:sz w:val="22"/>
          <w:lang w:val="en-GB"/>
        </w:rPr>
        <w:t>for tractors up to 400 hp</w:t>
      </w:r>
      <w:r w:rsidR="00330475">
        <w:rPr>
          <w:rFonts w:cs="Arial"/>
          <w:color w:val="000000"/>
          <w:sz w:val="22"/>
          <w:lang w:val="en-GB"/>
        </w:rPr>
        <w:t>.</w:t>
      </w:r>
      <w:r w:rsidR="00330475" w:rsidRPr="00330475">
        <w:rPr>
          <w:rFonts w:cs="Arial"/>
          <w:color w:val="000000"/>
          <w:sz w:val="22"/>
          <w:lang w:val="en-GB"/>
        </w:rPr>
        <w:t xml:space="preserve"> </w:t>
      </w:r>
      <w:r w:rsidR="007D1F47">
        <w:rPr>
          <w:rFonts w:cs="Arial"/>
          <w:color w:val="000000"/>
          <w:sz w:val="22"/>
          <w:lang w:val="en-GB"/>
        </w:rPr>
        <w:t xml:space="preserve">High output in the field, </w:t>
      </w:r>
      <w:r w:rsidR="00371383">
        <w:rPr>
          <w:rFonts w:cs="Arial"/>
          <w:color w:val="000000"/>
          <w:sz w:val="22"/>
          <w:lang w:val="en-GB"/>
        </w:rPr>
        <w:t xml:space="preserve">and </w:t>
      </w:r>
      <w:r w:rsidR="007D1F47">
        <w:rPr>
          <w:rFonts w:cs="Arial"/>
          <w:color w:val="000000"/>
          <w:sz w:val="22"/>
          <w:lang w:val="en-GB"/>
        </w:rPr>
        <w:t>the machine q</w:t>
      </w:r>
      <w:r w:rsidR="007D1F47" w:rsidRPr="00330475">
        <w:rPr>
          <w:rFonts w:cs="Arial"/>
          <w:color w:val="000000"/>
          <w:sz w:val="22"/>
          <w:lang w:val="en-GB"/>
        </w:rPr>
        <w:t>uick</w:t>
      </w:r>
      <w:r w:rsidR="007D1F47">
        <w:rPr>
          <w:rFonts w:cs="Arial"/>
          <w:color w:val="000000"/>
          <w:sz w:val="22"/>
          <w:lang w:val="en-GB"/>
        </w:rPr>
        <w:t>ly</w:t>
      </w:r>
      <w:r w:rsidR="007D1F47" w:rsidRPr="00330475">
        <w:rPr>
          <w:rFonts w:cs="Arial"/>
          <w:color w:val="000000"/>
          <w:sz w:val="22"/>
          <w:lang w:val="en-GB"/>
        </w:rPr>
        <w:t xml:space="preserve"> fold</w:t>
      </w:r>
      <w:r w:rsidR="007D1F47">
        <w:rPr>
          <w:rFonts w:cs="Arial"/>
          <w:color w:val="000000"/>
          <w:sz w:val="22"/>
          <w:lang w:val="en-GB"/>
        </w:rPr>
        <w:t>s t</w:t>
      </w:r>
      <w:r w:rsidR="007D1F47" w:rsidRPr="00330475">
        <w:rPr>
          <w:rFonts w:cs="Arial"/>
          <w:color w:val="000000"/>
          <w:sz w:val="22"/>
          <w:lang w:val="en-GB"/>
        </w:rPr>
        <w:t xml:space="preserve">o </w:t>
      </w:r>
      <w:r w:rsidR="00407CAC">
        <w:rPr>
          <w:rFonts w:cs="Arial"/>
          <w:color w:val="000000"/>
          <w:sz w:val="22"/>
          <w:lang w:val="en-GB"/>
        </w:rPr>
        <w:t xml:space="preserve">a </w:t>
      </w:r>
      <w:r w:rsidR="007D1F47" w:rsidRPr="00330475">
        <w:rPr>
          <w:rFonts w:cs="Arial"/>
          <w:color w:val="000000"/>
          <w:sz w:val="22"/>
          <w:lang w:val="en-GB"/>
        </w:rPr>
        <w:t xml:space="preserve">3 m transport width </w:t>
      </w:r>
      <w:r w:rsidR="007D1F47">
        <w:rPr>
          <w:rFonts w:cs="Arial"/>
          <w:color w:val="000000"/>
          <w:sz w:val="22"/>
          <w:lang w:val="en-GB"/>
        </w:rPr>
        <w:t xml:space="preserve">for </w:t>
      </w:r>
      <w:r w:rsidR="007D1F47" w:rsidRPr="00330475">
        <w:rPr>
          <w:rFonts w:cs="Arial"/>
          <w:color w:val="000000"/>
          <w:sz w:val="22"/>
          <w:lang w:val="en-GB"/>
        </w:rPr>
        <w:t>rapid and safe transport between fields</w:t>
      </w:r>
    </w:p>
    <w:p w:rsidR="00330475" w:rsidRPr="00330475" w:rsidRDefault="00330475" w:rsidP="00330475">
      <w:pPr>
        <w:spacing w:before="0" w:after="160" w:line="360" w:lineRule="auto"/>
        <w:rPr>
          <w:rFonts w:cs="Arial"/>
          <w:color w:val="000000"/>
          <w:sz w:val="22"/>
          <w:lang w:val="en-GB"/>
        </w:rPr>
      </w:pPr>
    </w:p>
    <w:p w:rsidR="00330475" w:rsidRPr="008B70FE" w:rsidRDefault="00330475" w:rsidP="00330475">
      <w:pPr>
        <w:spacing w:before="0" w:after="160" w:line="360" w:lineRule="auto"/>
        <w:rPr>
          <w:rFonts w:cs="Arial"/>
          <w:b/>
          <w:color w:val="000000"/>
          <w:sz w:val="24"/>
          <w:lang w:val="en-GB"/>
        </w:rPr>
      </w:pPr>
      <w:r w:rsidRPr="008B70FE">
        <w:rPr>
          <w:rFonts w:cs="Arial"/>
          <w:b/>
          <w:color w:val="000000"/>
          <w:sz w:val="24"/>
          <w:lang w:val="en-GB"/>
        </w:rPr>
        <w:t xml:space="preserve">System Rotamix – close-coupled, compact and four extra tine carriers </w:t>
      </w:r>
      <w:r w:rsidR="00407CAC" w:rsidRPr="008B70FE">
        <w:rPr>
          <w:rFonts w:cs="Arial"/>
          <w:b/>
          <w:color w:val="000000"/>
          <w:sz w:val="24"/>
          <w:lang w:val="en-GB"/>
        </w:rPr>
        <w:t>over</w:t>
      </w:r>
      <w:r w:rsidRPr="008B70FE">
        <w:rPr>
          <w:rFonts w:cs="Arial"/>
          <w:b/>
          <w:color w:val="000000"/>
          <w:sz w:val="24"/>
          <w:lang w:val="en-GB"/>
        </w:rPr>
        <w:t xml:space="preserve"> 6 m </w:t>
      </w:r>
    </w:p>
    <w:p w:rsidR="00330475" w:rsidRPr="00330475" w:rsidRDefault="007D1F47" w:rsidP="00330475">
      <w:pPr>
        <w:spacing w:before="0" w:after="160" w:line="360" w:lineRule="auto"/>
        <w:rPr>
          <w:rFonts w:cs="Arial"/>
          <w:color w:val="000000"/>
          <w:sz w:val="22"/>
          <w:lang w:val="en-GB"/>
        </w:rPr>
      </w:pPr>
      <w:r>
        <w:rPr>
          <w:rFonts w:cs="Arial"/>
          <w:color w:val="000000"/>
          <w:sz w:val="22"/>
          <w:lang w:val="en-GB"/>
        </w:rPr>
        <w:t>Along with the rest of the KE 02 models</w:t>
      </w:r>
      <w:r w:rsidR="00371383">
        <w:rPr>
          <w:rFonts w:cs="Arial"/>
          <w:color w:val="000000"/>
          <w:sz w:val="22"/>
          <w:lang w:val="en-GB"/>
        </w:rPr>
        <w:t xml:space="preserve"> equipped</w:t>
      </w:r>
      <w:r w:rsidRPr="00330475">
        <w:rPr>
          <w:rFonts w:cs="Arial"/>
          <w:color w:val="000000"/>
          <w:sz w:val="22"/>
          <w:lang w:val="en-GB"/>
        </w:rPr>
        <w:t xml:space="preserve"> with the Rotamix system</w:t>
      </w:r>
      <w:r>
        <w:rPr>
          <w:rFonts w:cs="Arial"/>
          <w:color w:val="000000"/>
          <w:sz w:val="22"/>
          <w:lang w:val="en-GB"/>
        </w:rPr>
        <w:t>, t</w:t>
      </w:r>
      <w:r w:rsidR="00330475" w:rsidRPr="00330475">
        <w:rPr>
          <w:rFonts w:cs="Arial"/>
          <w:color w:val="000000"/>
          <w:sz w:val="22"/>
          <w:lang w:val="en-GB"/>
        </w:rPr>
        <w:t xml:space="preserve">he KE 6002-2-400 rotary harrow has four tine carriers per metre working width </w:t>
      </w:r>
      <w:r w:rsidR="00407CAC">
        <w:rPr>
          <w:rFonts w:cs="Arial"/>
          <w:color w:val="000000"/>
          <w:sz w:val="22"/>
          <w:lang w:val="en-GB"/>
        </w:rPr>
        <w:t>across</w:t>
      </w:r>
      <w:r w:rsidR="00330475" w:rsidRPr="00330475">
        <w:rPr>
          <w:rFonts w:cs="Arial"/>
          <w:color w:val="000000"/>
          <w:sz w:val="22"/>
          <w:lang w:val="en-GB"/>
        </w:rPr>
        <w:t xml:space="preserve"> which the incoming power is distributed. The trailing tines produce a very good crumb structure, even on heavy soils</w:t>
      </w:r>
      <w:r w:rsidR="00407CAC">
        <w:rPr>
          <w:rFonts w:cs="Arial"/>
          <w:color w:val="000000"/>
          <w:sz w:val="22"/>
          <w:lang w:val="en-GB"/>
        </w:rPr>
        <w:t xml:space="preserve"> making t</w:t>
      </w:r>
      <w:r w:rsidR="00330475" w:rsidRPr="00330475">
        <w:rPr>
          <w:rFonts w:cs="Arial"/>
          <w:color w:val="000000"/>
          <w:sz w:val="22"/>
          <w:lang w:val="en-GB"/>
        </w:rPr>
        <w:t>he new rotary harrows therefore very well suited for seedbed preparation, particularly following the plough.</w:t>
      </w:r>
    </w:p>
    <w:p w:rsidR="00330475" w:rsidRPr="00330475" w:rsidRDefault="00330475" w:rsidP="00330475">
      <w:pPr>
        <w:spacing w:before="0" w:after="160" w:line="360" w:lineRule="auto"/>
        <w:rPr>
          <w:rFonts w:cs="Arial"/>
          <w:color w:val="000000"/>
          <w:sz w:val="22"/>
          <w:lang w:val="en-GB"/>
        </w:rPr>
      </w:pPr>
      <w:r w:rsidRPr="00330475">
        <w:rPr>
          <w:rFonts w:cs="Arial"/>
          <w:color w:val="000000"/>
          <w:sz w:val="22"/>
          <w:lang w:val="en-GB"/>
        </w:rPr>
        <w:t xml:space="preserve">The number of tine carriers permits the use of a smaller spur gear diameter. This has allowed the design of the rotary harrow trough to be very robust, yet very compact and therefore lightweight. The short coupling </w:t>
      </w:r>
      <w:r w:rsidR="001A3E59">
        <w:rPr>
          <w:rFonts w:cs="Arial"/>
          <w:color w:val="000000"/>
          <w:sz w:val="22"/>
          <w:lang w:val="en-GB"/>
        </w:rPr>
        <w:t xml:space="preserve">distance </w:t>
      </w:r>
      <w:r w:rsidRPr="00330475">
        <w:rPr>
          <w:rFonts w:cs="Arial"/>
          <w:color w:val="000000"/>
          <w:sz w:val="22"/>
          <w:lang w:val="en-GB"/>
        </w:rPr>
        <w:t xml:space="preserve">ensures that the leverage effect on the tractor is reduced, and it therefore has a lesser lifting power requirement than with other rotary harrows. </w:t>
      </w:r>
    </w:p>
    <w:p w:rsidR="00330475" w:rsidRPr="00330475" w:rsidRDefault="00330475" w:rsidP="00330475">
      <w:pPr>
        <w:spacing w:before="0" w:after="160" w:line="360" w:lineRule="auto"/>
        <w:rPr>
          <w:rFonts w:cs="Arial"/>
          <w:color w:val="000000"/>
          <w:sz w:val="22"/>
          <w:lang w:val="en-GB"/>
        </w:rPr>
      </w:pPr>
      <w:r w:rsidRPr="00330475">
        <w:rPr>
          <w:rFonts w:cs="Arial"/>
          <w:color w:val="000000"/>
          <w:sz w:val="22"/>
          <w:lang w:val="en-GB"/>
        </w:rPr>
        <w:t xml:space="preserve">The tried and tested </w:t>
      </w:r>
      <w:proofErr w:type="spellStart"/>
      <w:r w:rsidRPr="00330475">
        <w:rPr>
          <w:rFonts w:cs="Arial"/>
          <w:color w:val="000000"/>
          <w:sz w:val="22"/>
          <w:lang w:val="en-GB"/>
        </w:rPr>
        <w:t>Quick+Safe</w:t>
      </w:r>
      <w:proofErr w:type="spellEnd"/>
      <w:r w:rsidRPr="00330475">
        <w:rPr>
          <w:rFonts w:cs="Arial"/>
          <w:color w:val="000000"/>
          <w:sz w:val="22"/>
          <w:lang w:val="en-GB"/>
        </w:rPr>
        <w:t xml:space="preserve"> system provides the 290 mm tines with an integrated stone release and the tines can be easily exchanged without the need for tools.</w:t>
      </w:r>
    </w:p>
    <w:p w:rsidR="00330475" w:rsidRPr="00330475" w:rsidRDefault="00330475" w:rsidP="00330475">
      <w:pPr>
        <w:spacing w:before="0" w:after="160" w:line="360" w:lineRule="auto"/>
        <w:rPr>
          <w:rFonts w:cs="Arial"/>
          <w:color w:val="000000"/>
          <w:sz w:val="22"/>
          <w:lang w:val="en-GB"/>
        </w:rPr>
      </w:pPr>
    </w:p>
    <w:p w:rsidR="00330475" w:rsidRPr="008B70FE" w:rsidRDefault="00330475" w:rsidP="00330475">
      <w:pPr>
        <w:spacing w:before="0" w:after="160" w:line="360" w:lineRule="auto"/>
        <w:rPr>
          <w:rFonts w:cs="Arial"/>
          <w:b/>
          <w:color w:val="000000"/>
          <w:sz w:val="24"/>
          <w:lang w:val="en-GB"/>
        </w:rPr>
      </w:pPr>
      <w:r w:rsidRPr="008B70FE">
        <w:rPr>
          <w:rFonts w:cs="Arial"/>
          <w:b/>
          <w:color w:val="000000"/>
          <w:sz w:val="24"/>
          <w:lang w:val="en-GB"/>
        </w:rPr>
        <w:t xml:space="preserve">A higher class of performance with the </w:t>
      </w:r>
      <w:proofErr w:type="spellStart"/>
      <w:r w:rsidRPr="008B70FE">
        <w:rPr>
          <w:rFonts w:cs="Arial"/>
          <w:b/>
          <w:color w:val="000000"/>
          <w:sz w:val="24"/>
          <w:lang w:val="en-GB"/>
        </w:rPr>
        <w:t>DirectDrive</w:t>
      </w:r>
      <w:proofErr w:type="spellEnd"/>
      <w:r w:rsidRPr="008B70FE">
        <w:rPr>
          <w:rFonts w:cs="Arial"/>
          <w:b/>
          <w:color w:val="000000"/>
          <w:sz w:val="24"/>
          <w:lang w:val="en-GB"/>
        </w:rPr>
        <w:t xml:space="preserve"> gearbox</w:t>
      </w:r>
    </w:p>
    <w:p w:rsidR="00330475" w:rsidRPr="00330475" w:rsidRDefault="00330475" w:rsidP="00330475">
      <w:pPr>
        <w:spacing w:before="0" w:after="160" w:line="360" w:lineRule="auto"/>
        <w:rPr>
          <w:rFonts w:cs="Arial"/>
          <w:color w:val="000000"/>
          <w:sz w:val="22"/>
          <w:lang w:val="en-GB"/>
        </w:rPr>
      </w:pPr>
      <w:r w:rsidRPr="00330475">
        <w:rPr>
          <w:rFonts w:cs="Arial"/>
          <w:color w:val="000000"/>
          <w:sz w:val="22"/>
          <w:lang w:val="en-GB"/>
        </w:rPr>
        <w:t>The Long-Life-Drive system, ensures a long service life and maximum smooth running. The double sealing system</w:t>
      </w:r>
      <w:r w:rsidR="00371383">
        <w:rPr>
          <w:rFonts w:cs="Arial"/>
          <w:color w:val="000000"/>
          <w:sz w:val="22"/>
          <w:lang w:val="en-GB"/>
        </w:rPr>
        <w:t>,</w:t>
      </w:r>
      <w:r w:rsidRPr="00330475">
        <w:rPr>
          <w:rFonts w:cs="Arial"/>
          <w:color w:val="000000"/>
          <w:sz w:val="22"/>
          <w:lang w:val="en-GB"/>
        </w:rPr>
        <w:t xml:space="preserve"> with cassette seal and labyrinth seal</w:t>
      </w:r>
      <w:r w:rsidR="00371383">
        <w:rPr>
          <w:rFonts w:cs="Arial"/>
          <w:color w:val="000000"/>
          <w:sz w:val="22"/>
          <w:lang w:val="en-GB"/>
        </w:rPr>
        <w:t>s,</w:t>
      </w:r>
      <w:r w:rsidRPr="00330475">
        <w:rPr>
          <w:rFonts w:cs="Arial"/>
          <w:color w:val="000000"/>
          <w:sz w:val="22"/>
          <w:lang w:val="en-GB"/>
        </w:rPr>
        <w:t xml:space="preserve"> protects against dust, moisture and dirt ingress.</w:t>
      </w:r>
    </w:p>
    <w:p w:rsidR="00330475" w:rsidRPr="00330475" w:rsidRDefault="001A3E59" w:rsidP="00330475">
      <w:pPr>
        <w:spacing w:before="0" w:after="160" w:line="360" w:lineRule="auto"/>
        <w:rPr>
          <w:rFonts w:cs="Arial"/>
          <w:color w:val="000000"/>
          <w:sz w:val="22"/>
          <w:lang w:val="en-GB"/>
        </w:rPr>
      </w:pPr>
      <w:r>
        <w:rPr>
          <w:rFonts w:cs="Arial"/>
          <w:color w:val="000000"/>
          <w:sz w:val="22"/>
          <w:lang w:val="en-GB"/>
        </w:rPr>
        <w:t>And at t</w:t>
      </w:r>
      <w:r w:rsidR="00330475" w:rsidRPr="00330475">
        <w:rPr>
          <w:rFonts w:cs="Arial"/>
          <w:color w:val="000000"/>
          <w:sz w:val="22"/>
          <w:lang w:val="en-GB"/>
        </w:rPr>
        <w:t xml:space="preserve">he heart of the new rotary harrow range is the </w:t>
      </w:r>
      <w:proofErr w:type="spellStart"/>
      <w:r w:rsidR="00330475" w:rsidRPr="00330475">
        <w:rPr>
          <w:rFonts w:cs="Arial"/>
          <w:color w:val="000000"/>
          <w:sz w:val="22"/>
          <w:lang w:val="en-GB"/>
        </w:rPr>
        <w:t>DirectDrive</w:t>
      </w:r>
      <w:proofErr w:type="spellEnd"/>
      <w:r w:rsidR="00330475" w:rsidRPr="00330475">
        <w:rPr>
          <w:rFonts w:cs="Arial"/>
          <w:color w:val="000000"/>
          <w:sz w:val="22"/>
          <w:lang w:val="en-GB"/>
        </w:rPr>
        <w:t xml:space="preserve"> gearbox, via which the higher power flow is transmitted directly to the spur gears of the tine carriers. On the new KE 6002-2-400 Rotamix there is no power redirection thus ensuring an excellent, low-wear, </w:t>
      </w:r>
      <w:r w:rsidR="00371383" w:rsidRPr="00330475">
        <w:rPr>
          <w:rFonts w:cs="Arial"/>
          <w:color w:val="000000"/>
          <w:sz w:val="22"/>
          <w:lang w:val="en-GB"/>
        </w:rPr>
        <w:t xml:space="preserve">transmission </w:t>
      </w:r>
      <w:r w:rsidR="00371383">
        <w:rPr>
          <w:rFonts w:cs="Arial"/>
          <w:color w:val="000000"/>
          <w:sz w:val="22"/>
          <w:lang w:val="en-GB"/>
        </w:rPr>
        <w:t xml:space="preserve">of </w:t>
      </w:r>
      <w:r w:rsidR="00330475" w:rsidRPr="00330475">
        <w:rPr>
          <w:rFonts w:cs="Arial"/>
          <w:color w:val="000000"/>
          <w:sz w:val="22"/>
          <w:lang w:val="en-GB"/>
        </w:rPr>
        <w:t xml:space="preserve">power. The </w:t>
      </w:r>
      <w:proofErr w:type="spellStart"/>
      <w:r w:rsidR="00371383">
        <w:rPr>
          <w:rFonts w:cs="Arial"/>
          <w:color w:val="000000"/>
          <w:sz w:val="22"/>
          <w:lang w:val="en-GB"/>
        </w:rPr>
        <w:t>DriveDrive</w:t>
      </w:r>
      <w:proofErr w:type="spellEnd"/>
      <w:r w:rsidR="00371383">
        <w:rPr>
          <w:rFonts w:cs="Arial"/>
          <w:color w:val="000000"/>
          <w:sz w:val="22"/>
          <w:lang w:val="en-GB"/>
        </w:rPr>
        <w:t xml:space="preserve"> </w:t>
      </w:r>
      <w:r w:rsidR="00330475" w:rsidRPr="00330475">
        <w:rPr>
          <w:rFonts w:cs="Arial"/>
          <w:color w:val="000000"/>
          <w:sz w:val="22"/>
          <w:lang w:val="en-GB"/>
        </w:rPr>
        <w:t>gearbox</w:t>
      </w:r>
      <w:r w:rsidR="00371383">
        <w:rPr>
          <w:rFonts w:cs="Arial"/>
          <w:color w:val="000000"/>
          <w:sz w:val="22"/>
          <w:lang w:val="en-GB"/>
        </w:rPr>
        <w:t xml:space="preserve">es are </w:t>
      </w:r>
      <w:r w:rsidR="00330475" w:rsidRPr="00330475">
        <w:rPr>
          <w:rFonts w:cs="Arial"/>
          <w:color w:val="000000"/>
          <w:sz w:val="22"/>
          <w:lang w:val="en-GB"/>
        </w:rPr>
        <w:t>mounted on both side wings. The rotary harrow can be used with a PTO speed of 1000 rpm. Exchange gear sets enable the tine carrier speed to be adapted to the different soil conditions.</w:t>
      </w:r>
    </w:p>
    <w:p w:rsidR="008B70FE" w:rsidRDefault="008B70FE" w:rsidP="00330475">
      <w:pPr>
        <w:spacing w:before="0" w:after="160" w:line="360" w:lineRule="auto"/>
        <w:rPr>
          <w:rFonts w:cs="Arial"/>
          <w:b/>
          <w:color w:val="000000"/>
          <w:sz w:val="22"/>
          <w:lang w:val="en-GB"/>
        </w:rPr>
      </w:pPr>
    </w:p>
    <w:p w:rsidR="008B70FE" w:rsidRDefault="008B70FE" w:rsidP="00330475">
      <w:pPr>
        <w:spacing w:before="0" w:after="160" w:line="360" w:lineRule="auto"/>
        <w:rPr>
          <w:rFonts w:cs="Arial"/>
          <w:b/>
          <w:color w:val="000000"/>
          <w:sz w:val="22"/>
          <w:lang w:val="en-GB"/>
        </w:rPr>
      </w:pPr>
    </w:p>
    <w:p w:rsidR="008B70FE" w:rsidRDefault="008B70FE" w:rsidP="00330475">
      <w:pPr>
        <w:spacing w:before="0" w:after="160" w:line="360" w:lineRule="auto"/>
        <w:rPr>
          <w:rFonts w:cs="Arial"/>
          <w:b/>
          <w:color w:val="000000"/>
          <w:sz w:val="22"/>
          <w:lang w:val="en-GB"/>
        </w:rPr>
      </w:pPr>
    </w:p>
    <w:p w:rsidR="00330475" w:rsidRPr="008B70FE" w:rsidRDefault="00371383" w:rsidP="00330475">
      <w:pPr>
        <w:spacing w:before="0" w:after="160" w:line="360" w:lineRule="auto"/>
        <w:rPr>
          <w:rFonts w:cs="Arial"/>
          <w:b/>
          <w:color w:val="000000"/>
          <w:sz w:val="24"/>
          <w:lang w:val="en-GB"/>
        </w:rPr>
      </w:pPr>
      <w:r>
        <w:rPr>
          <w:rFonts w:cs="Arial"/>
          <w:b/>
          <w:color w:val="000000"/>
          <w:sz w:val="24"/>
          <w:lang w:val="en-GB"/>
        </w:rPr>
        <w:t>Comfortable setting</w:t>
      </w:r>
    </w:p>
    <w:p w:rsidR="00330475" w:rsidRPr="00330475" w:rsidRDefault="00330475" w:rsidP="00330475">
      <w:pPr>
        <w:spacing w:before="0" w:after="160" w:line="360" w:lineRule="auto"/>
        <w:rPr>
          <w:rFonts w:cs="Arial"/>
          <w:color w:val="000000"/>
          <w:sz w:val="22"/>
          <w:lang w:val="en-GB"/>
        </w:rPr>
      </w:pPr>
      <w:r w:rsidRPr="00330475">
        <w:rPr>
          <w:rFonts w:cs="Arial"/>
          <w:color w:val="000000"/>
          <w:sz w:val="22"/>
          <w:lang w:val="en-GB"/>
        </w:rPr>
        <w:t xml:space="preserve">For </w:t>
      </w:r>
      <w:r w:rsidR="00407CAC" w:rsidRPr="00330475">
        <w:rPr>
          <w:rFonts w:cs="Arial"/>
          <w:color w:val="000000"/>
          <w:sz w:val="22"/>
          <w:lang w:val="en-GB"/>
        </w:rPr>
        <w:t xml:space="preserve">setting </w:t>
      </w:r>
      <w:r w:rsidR="00407CAC">
        <w:rPr>
          <w:rFonts w:cs="Arial"/>
          <w:color w:val="000000"/>
          <w:sz w:val="22"/>
          <w:lang w:val="en-GB"/>
        </w:rPr>
        <w:t xml:space="preserve">a </w:t>
      </w:r>
      <w:r w:rsidRPr="00330475">
        <w:rPr>
          <w:rFonts w:cs="Arial"/>
          <w:color w:val="000000"/>
          <w:sz w:val="22"/>
          <w:lang w:val="en-GB"/>
        </w:rPr>
        <w:t>precise and consistent working depth, the KE 6002-2-400 is adjusted via a series of holes. This facilitates a very broad setting spectr</w:t>
      </w:r>
      <w:r w:rsidR="00407CAC">
        <w:rPr>
          <w:rFonts w:cs="Arial"/>
          <w:color w:val="000000"/>
          <w:sz w:val="22"/>
          <w:lang w:val="en-GB"/>
        </w:rPr>
        <w:t>um where the working depth can</w:t>
      </w:r>
      <w:r w:rsidRPr="00330475">
        <w:rPr>
          <w:rFonts w:cs="Arial"/>
          <w:color w:val="000000"/>
          <w:sz w:val="22"/>
          <w:lang w:val="en-GB"/>
        </w:rPr>
        <w:t xml:space="preserve"> be</w:t>
      </w:r>
      <w:r w:rsidR="00407CAC" w:rsidRPr="00407CAC">
        <w:rPr>
          <w:rFonts w:cs="Arial"/>
          <w:color w:val="000000"/>
          <w:sz w:val="22"/>
          <w:lang w:val="en-GB"/>
        </w:rPr>
        <w:t xml:space="preserve"> </w:t>
      </w:r>
      <w:r w:rsidR="00407CAC" w:rsidRPr="00330475">
        <w:rPr>
          <w:rFonts w:cs="Arial"/>
          <w:color w:val="000000"/>
          <w:sz w:val="22"/>
          <w:lang w:val="en-GB"/>
        </w:rPr>
        <w:t>mechanically</w:t>
      </w:r>
      <w:r w:rsidRPr="00330475">
        <w:rPr>
          <w:rFonts w:cs="Arial"/>
          <w:color w:val="000000"/>
          <w:sz w:val="22"/>
          <w:lang w:val="en-GB"/>
        </w:rPr>
        <w:t xml:space="preserve"> adjusted, yet very precisely by an eccentric pin. The setting is designed to be simple and easily</w:t>
      </w:r>
      <w:r w:rsidR="00371383">
        <w:rPr>
          <w:rFonts w:cs="Arial"/>
          <w:color w:val="000000"/>
          <w:sz w:val="22"/>
          <w:lang w:val="en-GB"/>
        </w:rPr>
        <w:t xml:space="preserve"> set up</w:t>
      </w:r>
      <w:r w:rsidRPr="00330475">
        <w:rPr>
          <w:rFonts w:cs="Arial"/>
          <w:color w:val="000000"/>
          <w:sz w:val="22"/>
          <w:lang w:val="en-GB"/>
        </w:rPr>
        <w:t xml:space="preserve"> </w:t>
      </w:r>
      <w:r w:rsidR="00371383">
        <w:rPr>
          <w:rFonts w:cs="Arial"/>
          <w:color w:val="000000"/>
          <w:sz w:val="22"/>
          <w:lang w:val="en-GB"/>
        </w:rPr>
        <w:t>by</w:t>
      </w:r>
      <w:r w:rsidRPr="00330475">
        <w:rPr>
          <w:rFonts w:cs="Arial"/>
          <w:color w:val="000000"/>
          <w:sz w:val="22"/>
          <w:lang w:val="en-GB"/>
        </w:rPr>
        <w:t xml:space="preserve"> the operator. </w:t>
      </w:r>
    </w:p>
    <w:p w:rsidR="00330475" w:rsidRPr="00330475" w:rsidRDefault="00330475" w:rsidP="00330475">
      <w:pPr>
        <w:spacing w:before="0" w:after="160" w:line="360" w:lineRule="auto"/>
        <w:rPr>
          <w:rFonts w:cs="Arial"/>
          <w:color w:val="000000"/>
          <w:sz w:val="22"/>
          <w:lang w:val="en-GB"/>
        </w:rPr>
      </w:pPr>
      <w:r w:rsidRPr="00330475">
        <w:rPr>
          <w:rFonts w:cs="Arial"/>
          <w:color w:val="000000"/>
          <w:sz w:val="22"/>
          <w:lang w:val="en-GB"/>
        </w:rPr>
        <w:t xml:space="preserve">The height of the levelling board </w:t>
      </w:r>
      <w:r w:rsidR="00407CAC">
        <w:rPr>
          <w:rFonts w:cs="Arial"/>
          <w:color w:val="000000"/>
          <w:sz w:val="22"/>
          <w:lang w:val="en-GB"/>
        </w:rPr>
        <w:t xml:space="preserve">that holds and </w:t>
      </w:r>
      <w:r w:rsidRPr="00330475">
        <w:rPr>
          <w:rFonts w:cs="Arial"/>
          <w:color w:val="000000"/>
          <w:sz w:val="22"/>
          <w:lang w:val="en-GB"/>
        </w:rPr>
        <w:t>level</w:t>
      </w:r>
      <w:r w:rsidR="00407CAC">
        <w:rPr>
          <w:rFonts w:cs="Arial"/>
          <w:color w:val="000000"/>
          <w:sz w:val="22"/>
          <w:lang w:val="en-GB"/>
        </w:rPr>
        <w:t xml:space="preserve">s </w:t>
      </w:r>
      <w:r w:rsidRPr="00330475">
        <w:rPr>
          <w:rFonts w:cs="Arial"/>
          <w:color w:val="000000"/>
          <w:sz w:val="22"/>
          <w:lang w:val="en-GB"/>
        </w:rPr>
        <w:t xml:space="preserve">the soil </w:t>
      </w:r>
      <w:r w:rsidR="00407CAC">
        <w:rPr>
          <w:rFonts w:cs="Arial"/>
          <w:color w:val="000000"/>
          <w:sz w:val="22"/>
          <w:lang w:val="en-GB"/>
        </w:rPr>
        <w:t xml:space="preserve">within the tines </w:t>
      </w:r>
      <w:r w:rsidRPr="00330475">
        <w:rPr>
          <w:rFonts w:cs="Arial"/>
          <w:color w:val="000000"/>
          <w:sz w:val="22"/>
          <w:lang w:val="en-GB"/>
        </w:rPr>
        <w:t xml:space="preserve">is precisely guided by the </w:t>
      </w:r>
      <w:r w:rsidR="00407CAC">
        <w:rPr>
          <w:rFonts w:cs="Arial"/>
          <w:color w:val="000000"/>
          <w:sz w:val="22"/>
          <w:lang w:val="en-GB"/>
        </w:rPr>
        <w:t xml:space="preserve">rear </w:t>
      </w:r>
      <w:r w:rsidRPr="00330475">
        <w:rPr>
          <w:rFonts w:cs="Arial"/>
          <w:color w:val="000000"/>
          <w:sz w:val="22"/>
          <w:lang w:val="en-GB"/>
        </w:rPr>
        <w:t>roller. The levelling board also deflects upwards thanks to the integrated overload protection. A universal setting tool is supplied for fine-tuning the precise settings</w:t>
      </w:r>
      <w:r w:rsidR="00371383">
        <w:rPr>
          <w:rFonts w:cs="Arial"/>
          <w:color w:val="000000"/>
          <w:sz w:val="22"/>
          <w:lang w:val="en-GB"/>
        </w:rPr>
        <w:t>; the tool</w:t>
      </w:r>
      <w:r w:rsidRPr="00330475">
        <w:rPr>
          <w:rFonts w:cs="Arial"/>
          <w:color w:val="000000"/>
          <w:sz w:val="22"/>
          <w:lang w:val="en-GB"/>
        </w:rPr>
        <w:t xml:space="preserve"> can also be used universally for many other tasks, such as </w:t>
      </w:r>
      <w:r w:rsidR="00407CAC" w:rsidRPr="00330475">
        <w:rPr>
          <w:rFonts w:cs="Arial"/>
          <w:color w:val="000000"/>
          <w:sz w:val="22"/>
          <w:lang w:val="en-GB"/>
        </w:rPr>
        <w:t>adjust</w:t>
      </w:r>
      <w:r w:rsidR="00407CAC">
        <w:rPr>
          <w:rFonts w:cs="Arial"/>
          <w:color w:val="000000"/>
          <w:sz w:val="22"/>
          <w:lang w:val="en-GB"/>
        </w:rPr>
        <w:t xml:space="preserve">ing </w:t>
      </w:r>
      <w:r w:rsidRPr="00330475">
        <w:rPr>
          <w:rFonts w:cs="Arial"/>
          <w:color w:val="000000"/>
          <w:sz w:val="22"/>
          <w:lang w:val="en-GB"/>
        </w:rPr>
        <w:t>the height of the side plates or for setting the track markers.</w:t>
      </w:r>
      <w:r w:rsidR="00407CAC">
        <w:rPr>
          <w:rFonts w:cs="Arial"/>
          <w:color w:val="000000"/>
          <w:sz w:val="22"/>
          <w:lang w:val="en-GB"/>
        </w:rPr>
        <w:t xml:space="preserve"> </w:t>
      </w:r>
    </w:p>
    <w:p w:rsidR="00371383" w:rsidRDefault="00371383" w:rsidP="00330475">
      <w:pPr>
        <w:spacing w:before="0" w:after="160" w:line="360" w:lineRule="auto"/>
        <w:rPr>
          <w:rFonts w:cs="Arial"/>
          <w:b/>
          <w:color w:val="000000"/>
          <w:sz w:val="24"/>
          <w:lang w:val="en-GB"/>
        </w:rPr>
      </w:pPr>
    </w:p>
    <w:p w:rsidR="00330475" w:rsidRPr="008B70FE" w:rsidRDefault="00330475" w:rsidP="00330475">
      <w:pPr>
        <w:spacing w:before="0" w:after="160" w:line="360" w:lineRule="auto"/>
        <w:rPr>
          <w:rFonts w:cs="Arial"/>
          <w:b/>
          <w:color w:val="000000"/>
          <w:sz w:val="24"/>
          <w:lang w:val="en-GB"/>
        </w:rPr>
      </w:pPr>
      <w:r w:rsidRPr="008B70FE">
        <w:rPr>
          <w:rFonts w:cs="Arial"/>
          <w:b/>
          <w:color w:val="000000"/>
          <w:sz w:val="24"/>
          <w:lang w:val="en-GB"/>
        </w:rPr>
        <w:t xml:space="preserve">Versatile roller range </w:t>
      </w:r>
    </w:p>
    <w:p w:rsidR="00330475" w:rsidRPr="00330475" w:rsidRDefault="00330475" w:rsidP="00330475">
      <w:pPr>
        <w:spacing w:before="0" w:after="160" w:line="360" w:lineRule="auto"/>
        <w:rPr>
          <w:rFonts w:cs="Arial"/>
          <w:color w:val="000000"/>
          <w:sz w:val="22"/>
          <w:lang w:val="en-GB"/>
        </w:rPr>
      </w:pPr>
      <w:r w:rsidRPr="00330475">
        <w:rPr>
          <w:rFonts w:cs="Arial"/>
          <w:color w:val="000000"/>
          <w:sz w:val="22"/>
          <w:lang w:val="en-GB"/>
        </w:rPr>
        <w:t xml:space="preserve">Numerous roller types with different diameters for targeted reconsolidation are available for a wide range of site-specific requirements. AMAZONE offers the tooth packer roller for full-area crumbling and reconsolidation. The wedge ring roller, for light to medium soil types, reconsolidates in strips. Optionally also with Matrix profile for an even better drive in lighter soil types. The roller programme is rounded off with the trapezium roller, also giving strip-wise reconsolidation. </w:t>
      </w:r>
    </w:p>
    <w:p w:rsidR="00330475" w:rsidRPr="00330475" w:rsidRDefault="001A3E59" w:rsidP="00330475">
      <w:pPr>
        <w:spacing w:before="0" w:after="160" w:line="360" w:lineRule="auto"/>
        <w:rPr>
          <w:rFonts w:cs="Arial"/>
          <w:color w:val="000000"/>
          <w:sz w:val="22"/>
          <w:lang w:val="en-GB"/>
        </w:rPr>
      </w:pPr>
      <w:r>
        <w:rPr>
          <w:rFonts w:cs="Arial"/>
          <w:noProof/>
          <w:color w:val="000000"/>
          <w:sz w:val="22"/>
          <w:lang w:val="en-GB" w:eastAsia="en-GB"/>
        </w:rPr>
        <w:drawing>
          <wp:inline distT="0" distB="0" distL="0" distR="0" wp14:anchorId="0C79968B">
            <wp:extent cx="3474720" cy="2877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474720" cy="2877820"/>
                    </a:xfrm>
                    <a:prstGeom prst="rect">
                      <a:avLst/>
                    </a:prstGeom>
                    <a:noFill/>
                  </pic:spPr>
                </pic:pic>
              </a:graphicData>
            </a:graphic>
          </wp:inline>
        </w:drawing>
      </w:r>
    </w:p>
    <w:p w:rsidR="00330475" w:rsidRPr="00407CAC" w:rsidRDefault="00330475" w:rsidP="00330475">
      <w:pPr>
        <w:spacing w:before="0" w:after="160" w:line="360" w:lineRule="auto"/>
        <w:rPr>
          <w:rFonts w:cs="Arial"/>
          <w:i/>
          <w:color w:val="000000"/>
          <w:sz w:val="18"/>
          <w:lang w:val="en-GB"/>
        </w:rPr>
      </w:pPr>
      <w:r w:rsidRPr="00407CAC">
        <w:rPr>
          <w:rFonts w:cs="Arial"/>
          <w:i/>
          <w:color w:val="000000"/>
          <w:sz w:val="18"/>
          <w:lang w:val="en-GB"/>
        </w:rPr>
        <w:t>KE 6002-2-400 with Rotamix system for use after inversion soil tillage</w:t>
      </w:r>
    </w:p>
    <w:p w:rsidR="00371383" w:rsidRDefault="00371383" w:rsidP="008B70FE">
      <w:pPr>
        <w:tabs>
          <w:tab w:val="left" w:pos="8789"/>
        </w:tabs>
        <w:spacing w:after="120" w:line="360" w:lineRule="auto"/>
        <w:ind w:left="567" w:right="56"/>
        <w:rPr>
          <w:rFonts w:cs="Arial"/>
          <w:b/>
          <w:bCs/>
          <w:sz w:val="28"/>
          <w:szCs w:val="28"/>
          <w:lang w:val="en-GB"/>
        </w:rPr>
      </w:pPr>
    </w:p>
    <w:p w:rsidR="008B70FE" w:rsidRPr="002E5F9A" w:rsidRDefault="008B70FE" w:rsidP="00371383">
      <w:pPr>
        <w:tabs>
          <w:tab w:val="left" w:pos="8789"/>
        </w:tabs>
        <w:spacing w:after="120" w:line="360" w:lineRule="auto"/>
        <w:ind w:right="56"/>
        <w:rPr>
          <w:rFonts w:cs="Arial"/>
          <w:b/>
          <w:bCs/>
          <w:sz w:val="28"/>
          <w:szCs w:val="28"/>
          <w:lang w:val="en-GB"/>
        </w:rPr>
      </w:pPr>
      <w:r w:rsidRPr="002E5F9A">
        <w:rPr>
          <w:rFonts w:cs="Arial"/>
          <w:b/>
          <w:bCs/>
          <w:sz w:val="28"/>
          <w:szCs w:val="28"/>
          <w:lang w:val="en-GB"/>
        </w:rPr>
        <w:lastRenderedPageBreak/>
        <w:t xml:space="preserve">New Centaya </w:t>
      </w:r>
      <w:r w:rsidR="00371383">
        <w:rPr>
          <w:rFonts w:cs="Arial"/>
          <w:b/>
          <w:bCs/>
          <w:sz w:val="28"/>
          <w:szCs w:val="28"/>
          <w:lang w:val="en-GB"/>
        </w:rPr>
        <w:t>Special</w:t>
      </w:r>
      <w:r w:rsidRPr="002E5F9A">
        <w:rPr>
          <w:rFonts w:cs="Arial"/>
          <w:b/>
          <w:bCs/>
          <w:sz w:val="28"/>
          <w:szCs w:val="28"/>
          <w:lang w:val="en-GB"/>
        </w:rPr>
        <w:t xml:space="preserve"> pneumatic harrow-mounted seed drill</w:t>
      </w:r>
    </w:p>
    <w:p w:rsidR="008B70FE" w:rsidRPr="002E5F9A" w:rsidRDefault="008B70FE" w:rsidP="00371383">
      <w:pPr>
        <w:tabs>
          <w:tab w:val="left" w:pos="8789"/>
        </w:tabs>
        <w:spacing w:after="120" w:line="360" w:lineRule="auto"/>
        <w:ind w:right="56"/>
        <w:rPr>
          <w:rFonts w:eastAsia="Arial" w:cs="Arial"/>
          <w:lang w:val="en-GB"/>
        </w:rPr>
      </w:pPr>
    </w:p>
    <w:p w:rsidR="008B70FE" w:rsidRPr="008B70FE" w:rsidRDefault="008B70FE" w:rsidP="00371383">
      <w:pPr>
        <w:tabs>
          <w:tab w:val="left" w:pos="8789"/>
        </w:tabs>
        <w:spacing w:after="120" w:line="360" w:lineRule="auto"/>
        <w:ind w:right="56"/>
        <w:rPr>
          <w:rFonts w:eastAsia="Arial" w:cs="Arial"/>
          <w:sz w:val="22"/>
          <w:lang w:val="en-GB"/>
        </w:rPr>
      </w:pPr>
      <w:r>
        <w:rPr>
          <w:rFonts w:eastAsia="Arial" w:cs="Arial"/>
          <w:sz w:val="22"/>
          <w:lang w:val="en-GB"/>
        </w:rPr>
        <w:t>At the Cereals Event fo</w:t>
      </w:r>
      <w:r w:rsidRPr="008B70FE">
        <w:rPr>
          <w:rFonts w:eastAsia="Arial" w:cs="Arial"/>
          <w:sz w:val="22"/>
          <w:lang w:val="en-GB"/>
        </w:rPr>
        <w:t>r the first time, AMAZONE is extending its range of pneumatic harrow-mounted seed drills with the Centaya Special. The new model in the Centaya range replaces the AD-P Special harrow-mounted seed drill.</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 xml:space="preserve">The Centaya Special is offered in hopper sizes of 1,000 l and 1,500 l and </w:t>
      </w:r>
      <w:r w:rsidR="00763D20">
        <w:rPr>
          <w:rFonts w:eastAsia="Arial" w:cs="Arial"/>
          <w:sz w:val="22"/>
          <w:lang w:val="en-GB"/>
        </w:rPr>
        <w:t>in</w:t>
      </w:r>
      <w:r w:rsidRPr="008B70FE">
        <w:rPr>
          <w:rFonts w:eastAsia="Arial" w:cs="Arial"/>
          <w:sz w:val="22"/>
          <w:lang w:val="en-GB"/>
        </w:rPr>
        <w:t xml:space="preserve"> working width</w:t>
      </w:r>
      <w:r w:rsidR="00763D20">
        <w:rPr>
          <w:rFonts w:eastAsia="Arial" w:cs="Arial"/>
          <w:sz w:val="22"/>
          <w:lang w:val="en-GB"/>
        </w:rPr>
        <w:t>s</w:t>
      </w:r>
      <w:r w:rsidRPr="008B70FE">
        <w:rPr>
          <w:rFonts w:eastAsia="Arial" w:cs="Arial"/>
          <w:sz w:val="22"/>
          <w:lang w:val="en-GB"/>
        </w:rPr>
        <w:t xml:space="preserve"> of 3 m</w:t>
      </w:r>
      <w:r w:rsidR="00763D20">
        <w:rPr>
          <w:rFonts w:eastAsia="Arial" w:cs="Arial"/>
          <w:sz w:val="22"/>
          <w:lang w:val="en-GB"/>
        </w:rPr>
        <w:t>, 3.5 m and 4 m</w:t>
      </w:r>
      <w:r w:rsidRPr="008B70FE">
        <w:rPr>
          <w:rFonts w:eastAsia="Arial" w:cs="Arial"/>
          <w:sz w:val="22"/>
          <w:lang w:val="en-GB"/>
        </w:rPr>
        <w:t>. The pneumatic harrow-mounted seed drill can be equipped with the RoTeC single disc coulter or with the TwinTeC Special double disc coulter.</w:t>
      </w:r>
    </w:p>
    <w:p w:rsidR="008B70FE" w:rsidRPr="008B70FE" w:rsidRDefault="008B70FE" w:rsidP="00371383">
      <w:pPr>
        <w:tabs>
          <w:tab w:val="left" w:pos="8789"/>
        </w:tabs>
        <w:spacing w:after="120" w:line="360" w:lineRule="auto"/>
        <w:ind w:right="56"/>
        <w:rPr>
          <w:rFonts w:eastAsia="Arial" w:cs="Arial"/>
          <w:sz w:val="24"/>
          <w:lang w:val="en-GB"/>
        </w:rPr>
      </w:pPr>
    </w:p>
    <w:p w:rsidR="008B70FE" w:rsidRPr="008B70FE" w:rsidRDefault="008B70FE" w:rsidP="00371383">
      <w:pPr>
        <w:tabs>
          <w:tab w:val="left" w:pos="8789"/>
        </w:tabs>
        <w:spacing w:after="120" w:line="360" w:lineRule="auto"/>
        <w:ind w:right="56"/>
        <w:rPr>
          <w:rFonts w:eastAsia="Arial" w:cs="Arial"/>
          <w:b/>
          <w:bCs/>
          <w:sz w:val="24"/>
          <w:lang w:val="en-GB"/>
        </w:rPr>
      </w:pPr>
      <w:r w:rsidRPr="008B70FE">
        <w:rPr>
          <w:rFonts w:eastAsia="Arial" w:cs="Arial"/>
          <w:b/>
          <w:bCs/>
          <w:sz w:val="24"/>
          <w:lang w:val="en-GB"/>
        </w:rPr>
        <w:t>Compact, user-friendly and precise</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The segmented distributor head on the Centaya Special is mounted behind the seed hopper directly above the coulters. This arrangement ensures a short conveying time for the seed. The hopper is positioned well forward and thus offers an optimum centre of gravity close to the tractor. The distributor head can be reached easily via the loading board and can then be regularly checked. Setting the tramline system is also easy to carry out as a result of the good accessibility.</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The low profile of the hopper also gives the driver a better overview of the machine. The very large 2.30 x 0.84 m hopper fill opening enables a quick and convenient fill, not just from big bags, front end loaders, but also from small sacks. The deep hopper tip and steep hopper walls reliably guide the seed corn down to the metering unit. Furthermore, this design means that only small residual amounts are left in the hopper.</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 xml:space="preserve">The Centaya Special harrow-mounted seed drill is controlled </w:t>
      </w:r>
      <w:r w:rsidR="00763D20">
        <w:rPr>
          <w:rFonts w:eastAsia="Arial" w:cs="Arial"/>
          <w:sz w:val="22"/>
          <w:lang w:val="en-GB"/>
        </w:rPr>
        <w:t xml:space="preserve">either by the machine-specific AmaDrill 2 in-cab terminal or </w:t>
      </w:r>
      <w:r w:rsidRPr="008B70FE">
        <w:rPr>
          <w:rFonts w:eastAsia="Arial" w:cs="Arial"/>
          <w:sz w:val="22"/>
          <w:lang w:val="en-GB"/>
        </w:rPr>
        <w:t xml:space="preserve">via ISOBUS. The in-house developed AMAZONE </w:t>
      </w:r>
      <w:r w:rsidR="00763D20">
        <w:rPr>
          <w:rFonts w:eastAsia="Arial" w:cs="Arial"/>
          <w:sz w:val="22"/>
          <w:lang w:val="en-GB"/>
        </w:rPr>
        <w:t xml:space="preserve">ISOBUS </w:t>
      </w:r>
      <w:r w:rsidRPr="008B70FE">
        <w:rPr>
          <w:rFonts w:eastAsia="Arial" w:cs="Arial"/>
          <w:sz w:val="22"/>
          <w:lang w:val="en-GB"/>
        </w:rPr>
        <w:t>software allows intuitive operation by the driver. In combination with the TwinTerminal, the machine can be quickly and simply got ready for drilling.</w:t>
      </w:r>
    </w:p>
    <w:p w:rsidR="008B70FE" w:rsidRPr="008B70FE" w:rsidRDefault="008B70FE" w:rsidP="00371383">
      <w:pPr>
        <w:tabs>
          <w:tab w:val="left" w:pos="8789"/>
        </w:tabs>
        <w:ind w:right="56"/>
        <w:rPr>
          <w:rFonts w:eastAsia="Arial" w:cs="Arial"/>
          <w:sz w:val="22"/>
          <w:lang w:val="en-GB"/>
        </w:rPr>
      </w:pPr>
      <w:r w:rsidRPr="008B70FE">
        <w:rPr>
          <w:rFonts w:eastAsia="Arial" w:cs="Arial"/>
          <w:sz w:val="22"/>
          <w:lang w:val="en-GB"/>
        </w:rPr>
        <w:br w:type="page"/>
      </w:r>
    </w:p>
    <w:p w:rsidR="008B70FE" w:rsidRPr="008B70FE" w:rsidRDefault="008B70FE" w:rsidP="00371383">
      <w:pPr>
        <w:tabs>
          <w:tab w:val="left" w:pos="8789"/>
        </w:tabs>
        <w:spacing w:after="120" w:line="360" w:lineRule="auto"/>
        <w:ind w:right="56"/>
        <w:rPr>
          <w:rFonts w:eastAsia="Arial" w:cs="Arial"/>
          <w:b/>
          <w:bCs/>
          <w:sz w:val="24"/>
          <w:lang w:val="en-GB"/>
        </w:rPr>
      </w:pPr>
      <w:r w:rsidRPr="008B70FE">
        <w:rPr>
          <w:rFonts w:eastAsia="Arial" w:cs="Arial"/>
          <w:b/>
          <w:bCs/>
          <w:sz w:val="24"/>
          <w:lang w:val="en-GB"/>
        </w:rPr>
        <w:lastRenderedPageBreak/>
        <w:t>Smart calibration</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Calibration of the seed hopper can be carried out conveniently from the loading board. The easily-accessible metering unit on the bottom of the hopper ensures even seed metering. The seed is gathered in the collection bag supplied and is weighed using the scales that are included as standard.</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 xml:space="preserve">For other seeds, or different seed rates, AMAZONE offers a variety of different metering cassettes for the Centaya Special. Only two bolts need to be released directly on the metering unit using the </w:t>
      </w:r>
      <w:r w:rsidR="00763D20">
        <w:rPr>
          <w:rFonts w:eastAsia="Arial" w:cs="Arial"/>
          <w:sz w:val="22"/>
          <w:lang w:val="en-GB"/>
        </w:rPr>
        <w:t xml:space="preserve">handy </w:t>
      </w:r>
      <w:r w:rsidRPr="008B70FE">
        <w:rPr>
          <w:rFonts w:eastAsia="Arial" w:cs="Arial"/>
          <w:sz w:val="22"/>
          <w:lang w:val="en-GB"/>
        </w:rPr>
        <w:t>tool supplied, in order to change the metering cassettes.</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In order to make pre-metering, calibration and residue emptying even easier, AMAZONE o</w:t>
      </w:r>
      <w:r w:rsidR="00763D20">
        <w:rPr>
          <w:rFonts w:eastAsia="Arial" w:cs="Arial"/>
          <w:sz w:val="22"/>
          <w:lang w:val="en-GB"/>
        </w:rPr>
        <w:t>ffers, for the Centaya Special</w:t>
      </w:r>
      <w:r w:rsidRPr="008B70FE">
        <w:rPr>
          <w:rFonts w:eastAsia="Arial" w:cs="Arial"/>
          <w:sz w:val="22"/>
          <w:lang w:val="en-GB"/>
        </w:rPr>
        <w:t>, the Comfort Pack with its TwinTerminal 3.0. This terminal is fixed in place with a magnet close to the metering unit. Calibration is therefore carried out directly down on the machine and there is no need to keep getting up and down from the tractor. ISOBUS control of the seed drill combination can be performed either by</w:t>
      </w:r>
      <w:r w:rsidR="00763D20">
        <w:rPr>
          <w:rFonts w:eastAsia="Arial" w:cs="Arial"/>
          <w:sz w:val="22"/>
          <w:lang w:val="en-GB"/>
        </w:rPr>
        <w:t xml:space="preserve"> the</w:t>
      </w:r>
      <w:r w:rsidRPr="008B70FE">
        <w:rPr>
          <w:rFonts w:eastAsia="Arial" w:cs="Arial"/>
          <w:sz w:val="22"/>
          <w:lang w:val="en-GB"/>
        </w:rPr>
        <w:t xml:space="preserve"> AmaTron 4 </w:t>
      </w:r>
      <w:r w:rsidR="00763D20">
        <w:rPr>
          <w:rFonts w:eastAsia="Arial" w:cs="Arial"/>
          <w:sz w:val="22"/>
          <w:lang w:val="en-GB"/>
        </w:rPr>
        <w:t>ISOBUS terminal</w:t>
      </w:r>
      <w:r w:rsidRPr="008B70FE">
        <w:rPr>
          <w:rFonts w:eastAsia="Arial" w:cs="Arial"/>
          <w:sz w:val="22"/>
          <w:lang w:val="en-GB"/>
        </w:rPr>
        <w:t xml:space="preserve"> from AMAZONE, or by any other ISOBUS terminal from a third party manufacturer.</w:t>
      </w:r>
    </w:p>
    <w:p w:rsidR="008B70FE" w:rsidRPr="008B70FE" w:rsidRDefault="008B70FE" w:rsidP="00371383">
      <w:pPr>
        <w:tabs>
          <w:tab w:val="left" w:pos="8789"/>
        </w:tabs>
        <w:spacing w:after="120" w:line="360" w:lineRule="auto"/>
        <w:ind w:right="56"/>
        <w:rPr>
          <w:rFonts w:eastAsia="Arial" w:cs="Arial"/>
          <w:sz w:val="22"/>
          <w:lang w:val="en-GB"/>
        </w:rPr>
      </w:pPr>
    </w:p>
    <w:p w:rsidR="008B70FE" w:rsidRPr="008B70FE" w:rsidRDefault="008B70FE" w:rsidP="00371383">
      <w:pPr>
        <w:tabs>
          <w:tab w:val="left" w:pos="8789"/>
        </w:tabs>
        <w:spacing w:after="120" w:line="360" w:lineRule="auto"/>
        <w:ind w:right="56"/>
        <w:rPr>
          <w:rFonts w:eastAsia="Arial" w:cs="Arial"/>
          <w:sz w:val="24"/>
          <w:lang w:val="en-GB"/>
        </w:rPr>
      </w:pPr>
      <w:r w:rsidRPr="008B70FE">
        <w:rPr>
          <w:rFonts w:eastAsia="Arial" w:cs="Arial"/>
          <w:b/>
          <w:bCs/>
          <w:sz w:val="24"/>
          <w:lang w:val="en-GB"/>
        </w:rPr>
        <w:t>Single disc or double disc coulters</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The Centaya Special can be equipped either with the RoTeC single disc coulter or with the TwinTeC Special double disc coulter.</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RoTeC coulters are maintenance-free and work very reliably, even where large amounts of straw and plant residues are present. The sowing disc and a furrow former create the seed furrow profile and provide optimum seed placement into the soil. The Control 10 depth guidance disc or the Control 25 depth guidance roller prevent the soil from sticking to the sowing disc, thereby ensuring that the pre-selected sowing depth is precisely maintained. Row spacings of 12.5 cm and 15 cm can be chosen.</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Equipped with the high-performance TwinTeC Special double disc coulter, the seed drill offers a precise and sturdy double disc coulter. With a disc diameter of 340 mm and a coulter pressure of 40 kg, the coulter provides very precise and neat seed placement, even at higher speeds and on inconsistent soils. Thanks to the trailing depth guide roller, there is always good contact with the soil, so that optimum seed placement is ensured. The coulter impresses with its smooth running, even under the most difficult of conditions. The row spacing is 15 cm.</w:t>
      </w:r>
    </w:p>
    <w:p w:rsidR="008B70FE" w:rsidRPr="008B70FE" w:rsidRDefault="008B70FE" w:rsidP="00371383">
      <w:pPr>
        <w:tabs>
          <w:tab w:val="left" w:pos="8789"/>
        </w:tabs>
        <w:spacing w:after="120" w:line="360" w:lineRule="auto"/>
        <w:ind w:right="56"/>
        <w:rPr>
          <w:rFonts w:eastAsia="Arial" w:cs="Arial"/>
          <w:sz w:val="22"/>
          <w:lang w:val="en-GB"/>
        </w:rPr>
      </w:pPr>
    </w:p>
    <w:p w:rsidR="008B70FE" w:rsidRDefault="008B70FE" w:rsidP="00371383">
      <w:pPr>
        <w:tabs>
          <w:tab w:val="left" w:pos="8789"/>
        </w:tabs>
        <w:spacing w:after="120" w:line="360" w:lineRule="auto"/>
        <w:ind w:right="56"/>
        <w:rPr>
          <w:rFonts w:eastAsia="Arial" w:cs="Arial"/>
          <w:b/>
          <w:bCs/>
          <w:sz w:val="22"/>
          <w:lang w:val="en-GB"/>
        </w:rPr>
      </w:pPr>
    </w:p>
    <w:p w:rsidR="008B70FE" w:rsidRPr="008B70FE" w:rsidRDefault="008B70FE" w:rsidP="00371383">
      <w:pPr>
        <w:tabs>
          <w:tab w:val="left" w:pos="8789"/>
        </w:tabs>
        <w:spacing w:after="120" w:line="360" w:lineRule="auto"/>
        <w:ind w:right="56"/>
        <w:rPr>
          <w:rFonts w:eastAsia="Arial" w:cs="Arial"/>
          <w:sz w:val="24"/>
          <w:lang w:val="en-GB"/>
        </w:rPr>
      </w:pPr>
      <w:r w:rsidRPr="008B70FE">
        <w:rPr>
          <w:rFonts w:eastAsia="Arial" w:cs="Arial"/>
          <w:b/>
          <w:bCs/>
          <w:sz w:val="24"/>
          <w:lang w:val="en-GB"/>
        </w:rPr>
        <w:lastRenderedPageBreak/>
        <w:t xml:space="preserve">QuickLink quick coupling system </w:t>
      </w:r>
    </w:p>
    <w:p w:rsidR="008B70FE" w:rsidRPr="008B70FE" w:rsidRDefault="008B70FE" w:rsidP="00371383">
      <w:pPr>
        <w:tabs>
          <w:tab w:val="left" w:pos="8789"/>
        </w:tabs>
        <w:spacing w:after="120" w:line="360" w:lineRule="auto"/>
        <w:ind w:right="56"/>
        <w:rPr>
          <w:rFonts w:eastAsia="Arial" w:cs="Arial"/>
          <w:sz w:val="22"/>
          <w:lang w:val="en-GB"/>
        </w:rPr>
      </w:pPr>
      <w:r w:rsidRPr="008B70FE">
        <w:rPr>
          <w:rFonts w:eastAsia="Arial" w:cs="Arial"/>
          <w:sz w:val="22"/>
          <w:lang w:val="en-GB"/>
        </w:rPr>
        <w:t>The Centaya Special harrow-mounted seed drill can be very easily and quickly connected without tools to the various AMAZONE soil tillage implements via the QuickLink quick coupling system. Depending on the soil conditions, it can be combined with the KE 02 rotary harrow or the KG and KX rotary cultivators. The Centaya Special can be combined with the CombiDisc compact disc harrow for use on very light soils.</w:t>
      </w:r>
    </w:p>
    <w:p w:rsidR="008B70FE" w:rsidRDefault="008B70FE" w:rsidP="00371383">
      <w:pPr>
        <w:tabs>
          <w:tab w:val="left" w:pos="8789"/>
        </w:tabs>
        <w:spacing w:after="120" w:line="360" w:lineRule="auto"/>
        <w:ind w:right="56"/>
        <w:rPr>
          <w:rFonts w:cs="Arial"/>
          <w:bCs/>
        </w:rPr>
      </w:pPr>
      <w:r>
        <w:rPr>
          <w:rFonts w:cs="Arial"/>
          <w:bCs/>
          <w:noProof/>
          <w:lang w:val="en-GB" w:eastAsia="en-GB"/>
        </w:rPr>
        <w:drawing>
          <wp:inline distT="0" distB="0" distL="0" distR="0" wp14:anchorId="3A4E428B" wp14:editId="675BA27D">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1" cstate="email">
                      <a:extLst>
                        <a:ext uri="{28A0092B-C50C-407E-A947-70E740481C1C}">
                          <a14:useLocalDpi xmlns:a14="http://schemas.microsoft.com/office/drawing/2010/main"/>
                        </a:ext>
                      </a:extLst>
                    </a:blip>
                    <a:stretch>
                      <a:fillRect/>
                    </a:stretch>
                  </pic:blipFill>
                  <pic:spPr>
                    <a:xfrm>
                      <a:off x="0" y="0"/>
                      <a:ext cx="3477600" cy="2880000"/>
                    </a:xfrm>
                    <a:prstGeom prst="rect">
                      <a:avLst/>
                    </a:prstGeom>
                  </pic:spPr>
                </pic:pic>
              </a:graphicData>
            </a:graphic>
          </wp:inline>
        </w:drawing>
      </w:r>
    </w:p>
    <w:p w:rsidR="008B70FE" w:rsidRPr="008B70FE" w:rsidRDefault="008B70FE" w:rsidP="00371383">
      <w:pPr>
        <w:tabs>
          <w:tab w:val="left" w:pos="3550"/>
          <w:tab w:val="left" w:pos="8789"/>
        </w:tabs>
        <w:spacing w:line="360" w:lineRule="auto"/>
        <w:ind w:right="56"/>
        <w:rPr>
          <w:rFonts w:cs="Arial"/>
          <w:bCs/>
          <w:i/>
          <w:color w:val="0D0D0D" w:themeColor="text1" w:themeTint="F2"/>
          <w:lang w:val="en-GB"/>
        </w:rPr>
      </w:pPr>
      <w:r w:rsidRPr="008B70FE">
        <w:rPr>
          <w:rFonts w:cs="Arial"/>
          <w:bCs/>
          <w:i/>
          <w:color w:val="0D0D0D" w:themeColor="text1" w:themeTint="F2"/>
          <w:sz w:val="18"/>
          <w:lang w:val="en-GB"/>
        </w:rPr>
        <w:t>Centaya 3000 Special with TwinTeC Special double disc coulter</w:t>
      </w:r>
    </w:p>
    <w:p w:rsidR="008B70FE" w:rsidRPr="001972B1" w:rsidRDefault="008B70FE" w:rsidP="00371383">
      <w:pPr>
        <w:tabs>
          <w:tab w:val="left" w:pos="3550"/>
          <w:tab w:val="left" w:pos="8789"/>
        </w:tabs>
        <w:spacing w:line="360" w:lineRule="auto"/>
        <w:ind w:right="56"/>
        <w:rPr>
          <w:rFonts w:cs="Arial"/>
          <w:bCs/>
          <w:color w:val="0D0D0D" w:themeColor="text1" w:themeTint="F2"/>
          <w:lang w:val="en-US"/>
        </w:rPr>
      </w:pPr>
      <w:r w:rsidRPr="001972B1">
        <w:rPr>
          <w:rFonts w:cs="Arial"/>
          <w:bCs/>
          <w:noProof/>
          <w:color w:val="0D0D0D" w:themeColor="text1" w:themeTint="F2"/>
          <w:lang w:val="en-GB" w:eastAsia="en-GB"/>
        </w:rPr>
        <w:drawing>
          <wp:inline distT="0" distB="0" distL="0" distR="0" wp14:anchorId="41758700" wp14:editId="54C8F2ED">
            <wp:extent cx="4053600" cy="2880000"/>
            <wp:effectExtent l="0" t="0" r="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2" cstate="email">
                      <a:extLst>
                        <a:ext uri="{28A0092B-C50C-407E-A947-70E740481C1C}">
                          <a14:useLocalDpi xmlns:a14="http://schemas.microsoft.com/office/drawing/2010/main"/>
                        </a:ext>
                      </a:extLst>
                    </a:blip>
                    <a:stretch>
                      <a:fillRect/>
                    </a:stretch>
                  </pic:blipFill>
                  <pic:spPr>
                    <a:xfrm>
                      <a:off x="0" y="0"/>
                      <a:ext cx="4053600" cy="2880000"/>
                    </a:xfrm>
                    <a:prstGeom prst="rect">
                      <a:avLst/>
                    </a:prstGeom>
                  </pic:spPr>
                </pic:pic>
              </a:graphicData>
            </a:graphic>
          </wp:inline>
        </w:drawing>
      </w:r>
    </w:p>
    <w:p w:rsidR="008B70FE" w:rsidRPr="008B70FE" w:rsidRDefault="008B70FE" w:rsidP="00371383">
      <w:pPr>
        <w:tabs>
          <w:tab w:val="left" w:pos="3550"/>
          <w:tab w:val="left" w:pos="8789"/>
        </w:tabs>
        <w:spacing w:line="360" w:lineRule="auto"/>
        <w:ind w:right="56"/>
        <w:rPr>
          <w:rFonts w:cs="Arial"/>
          <w:bCs/>
          <w:i/>
          <w:color w:val="0D0D0D" w:themeColor="text1" w:themeTint="F2"/>
          <w:sz w:val="18"/>
          <w:lang w:val="en-GB"/>
        </w:rPr>
      </w:pPr>
      <w:r w:rsidRPr="008B70FE">
        <w:rPr>
          <w:rFonts w:cs="Arial"/>
          <w:bCs/>
          <w:i/>
          <w:color w:val="0D0D0D" w:themeColor="text1" w:themeTint="F2"/>
          <w:sz w:val="18"/>
          <w:lang w:val="en-GB"/>
        </w:rPr>
        <w:t>Centaya 3000 Special with Nautilus front packer</w:t>
      </w:r>
    </w:p>
    <w:p w:rsidR="008B70FE" w:rsidRPr="001972B1" w:rsidRDefault="008B70FE" w:rsidP="00371383">
      <w:pPr>
        <w:tabs>
          <w:tab w:val="left" w:pos="3550"/>
          <w:tab w:val="left" w:pos="8789"/>
        </w:tabs>
        <w:spacing w:line="360" w:lineRule="auto"/>
        <w:ind w:right="56"/>
        <w:rPr>
          <w:rFonts w:cs="Arial"/>
          <w:bCs/>
          <w:color w:val="0D0D0D" w:themeColor="text1" w:themeTint="F2"/>
          <w:lang w:val="en-US"/>
        </w:rPr>
      </w:pPr>
      <w:r w:rsidRPr="001972B1">
        <w:rPr>
          <w:rFonts w:cs="Arial"/>
          <w:bCs/>
          <w:noProof/>
          <w:color w:val="0D0D0D" w:themeColor="text1" w:themeTint="F2"/>
          <w:lang w:val="en-GB" w:eastAsia="en-GB"/>
        </w:rPr>
        <w:lastRenderedPageBreak/>
        <w:drawing>
          <wp:inline distT="0" distB="0" distL="0" distR="0" wp14:anchorId="3C1C4577" wp14:editId="23A1B821">
            <wp:extent cx="4060800" cy="2880000"/>
            <wp:effectExtent l="0" t="0" r="381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3" cstate="email">
                      <a:extLst>
                        <a:ext uri="{28A0092B-C50C-407E-A947-70E740481C1C}">
                          <a14:useLocalDpi xmlns:a14="http://schemas.microsoft.com/office/drawing/2010/main"/>
                        </a:ext>
                      </a:extLst>
                    </a:blip>
                    <a:stretch>
                      <a:fillRect/>
                    </a:stretch>
                  </pic:blipFill>
                  <pic:spPr>
                    <a:xfrm>
                      <a:off x="0" y="0"/>
                      <a:ext cx="4060800" cy="2880000"/>
                    </a:xfrm>
                    <a:prstGeom prst="rect">
                      <a:avLst/>
                    </a:prstGeom>
                  </pic:spPr>
                </pic:pic>
              </a:graphicData>
            </a:graphic>
          </wp:inline>
        </w:drawing>
      </w:r>
    </w:p>
    <w:p w:rsidR="008B70FE" w:rsidRPr="008B70FE" w:rsidRDefault="008B70FE" w:rsidP="00371383">
      <w:pPr>
        <w:tabs>
          <w:tab w:val="left" w:pos="3550"/>
          <w:tab w:val="left" w:pos="8789"/>
        </w:tabs>
        <w:spacing w:line="360" w:lineRule="auto"/>
        <w:ind w:right="56"/>
        <w:rPr>
          <w:rFonts w:cs="Arial"/>
          <w:bCs/>
          <w:i/>
          <w:color w:val="0D0D0D" w:themeColor="text1" w:themeTint="F2"/>
          <w:lang w:val="en-GB"/>
        </w:rPr>
      </w:pPr>
      <w:r w:rsidRPr="008B70FE">
        <w:rPr>
          <w:rFonts w:cs="Arial"/>
          <w:bCs/>
          <w:i/>
          <w:color w:val="0D0D0D" w:themeColor="text1" w:themeTint="F2"/>
          <w:sz w:val="18"/>
          <w:lang w:val="en-GB"/>
        </w:rPr>
        <w:t>AMAZONE offers the Comfort-Pack with TwinTerminal 3.0 for smart calibration</w:t>
      </w:r>
    </w:p>
    <w:p w:rsidR="008B70FE" w:rsidRPr="001972B1" w:rsidRDefault="008B70FE" w:rsidP="00371383">
      <w:pPr>
        <w:tabs>
          <w:tab w:val="left" w:pos="3550"/>
          <w:tab w:val="left" w:pos="8789"/>
        </w:tabs>
        <w:spacing w:line="360" w:lineRule="auto"/>
        <w:ind w:right="56"/>
        <w:rPr>
          <w:rFonts w:cs="Arial"/>
          <w:bCs/>
          <w:color w:val="0D0D0D" w:themeColor="text1" w:themeTint="F2"/>
        </w:rPr>
      </w:pPr>
      <w:r w:rsidRPr="001972B1">
        <w:rPr>
          <w:rFonts w:cs="Arial"/>
          <w:bCs/>
          <w:noProof/>
          <w:color w:val="0D0D0D" w:themeColor="text1" w:themeTint="F2"/>
          <w:lang w:val="en-GB" w:eastAsia="en-GB"/>
        </w:rPr>
        <w:drawing>
          <wp:inline distT="0" distB="0" distL="0" distR="0" wp14:anchorId="0E2191EC" wp14:editId="38E7CC99">
            <wp:extent cx="40536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4" cstate="email">
                      <a:extLst>
                        <a:ext uri="{28A0092B-C50C-407E-A947-70E740481C1C}">
                          <a14:useLocalDpi xmlns:a14="http://schemas.microsoft.com/office/drawing/2010/main"/>
                        </a:ext>
                      </a:extLst>
                    </a:blip>
                    <a:stretch>
                      <a:fillRect/>
                    </a:stretch>
                  </pic:blipFill>
                  <pic:spPr>
                    <a:xfrm>
                      <a:off x="0" y="0"/>
                      <a:ext cx="4053600" cy="2880000"/>
                    </a:xfrm>
                    <a:prstGeom prst="rect">
                      <a:avLst/>
                    </a:prstGeom>
                  </pic:spPr>
                </pic:pic>
              </a:graphicData>
            </a:graphic>
          </wp:inline>
        </w:drawing>
      </w:r>
    </w:p>
    <w:p w:rsidR="008B70FE" w:rsidRPr="008B70FE" w:rsidRDefault="008B70FE" w:rsidP="00371383">
      <w:pPr>
        <w:tabs>
          <w:tab w:val="left" w:pos="3550"/>
          <w:tab w:val="left" w:pos="8789"/>
        </w:tabs>
        <w:spacing w:line="360" w:lineRule="auto"/>
        <w:ind w:right="56"/>
        <w:rPr>
          <w:rFonts w:cs="Arial"/>
          <w:bCs/>
          <w:i/>
          <w:color w:val="0D0D0D" w:themeColor="text1" w:themeTint="F2"/>
          <w:lang w:val="en-GB"/>
        </w:rPr>
      </w:pPr>
      <w:r w:rsidRPr="008B70FE">
        <w:rPr>
          <w:rFonts w:cs="Arial"/>
          <w:bCs/>
          <w:i/>
          <w:color w:val="0D0D0D" w:themeColor="text1" w:themeTint="F2"/>
          <w:sz w:val="18"/>
          <w:lang w:val="en-GB"/>
        </w:rPr>
        <w:t xml:space="preserve">TwinTeC Special double disc coulter with single-arm </w:t>
      </w:r>
      <w:r>
        <w:rPr>
          <w:rFonts w:cs="Arial"/>
          <w:bCs/>
          <w:i/>
          <w:color w:val="0D0D0D" w:themeColor="text1" w:themeTint="F2"/>
          <w:sz w:val="18"/>
          <w:lang w:val="en-GB"/>
        </w:rPr>
        <w:t>guidance</w:t>
      </w:r>
    </w:p>
    <w:p w:rsidR="008B70FE" w:rsidRPr="001972B1" w:rsidRDefault="008B70FE" w:rsidP="00371383">
      <w:pPr>
        <w:tabs>
          <w:tab w:val="left" w:pos="3550"/>
          <w:tab w:val="left" w:pos="8789"/>
        </w:tabs>
        <w:spacing w:line="360" w:lineRule="auto"/>
        <w:ind w:right="56"/>
        <w:rPr>
          <w:rFonts w:cs="Arial"/>
          <w:bCs/>
          <w:color w:val="0D0D0D" w:themeColor="text1" w:themeTint="F2"/>
          <w:lang w:val="en-GB"/>
        </w:rPr>
      </w:pPr>
    </w:p>
    <w:p w:rsidR="008B70FE" w:rsidRPr="001972B1" w:rsidRDefault="008B70FE" w:rsidP="00371383">
      <w:pPr>
        <w:tabs>
          <w:tab w:val="left" w:pos="3550"/>
          <w:tab w:val="left" w:pos="8789"/>
        </w:tabs>
        <w:spacing w:line="360" w:lineRule="auto"/>
        <w:ind w:right="56"/>
        <w:rPr>
          <w:rFonts w:cs="Arial"/>
          <w:bCs/>
          <w:color w:val="0D0D0D" w:themeColor="text1" w:themeTint="F2"/>
          <w:lang w:val="en-US"/>
        </w:rPr>
      </w:pPr>
    </w:p>
    <w:p w:rsidR="008B70FE" w:rsidRPr="001972B1" w:rsidRDefault="008B70FE" w:rsidP="00371383">
      <w:pPr>
        <w:tabs>
          <w:tab w:val="left" w:pos="3550"/>
          <w:tab w:val="left" w:pos="8789"/>
        </w:tabs>
        <w:spacing w:line="360" w:lineRule="auto"/>
        <w:ind w:right="56"/>
        <w:rPr>
          <w:rFonts w:cs="Arial"/>
          <w:bCs/>
          <w:color w:val="0D0D0D" w:themeColor="text1" w:themeTint="F2"/>
        </w:rPr>
      </w:pPr>
      <w:r w:rsidRPr="001972B1">
        <w:rPr>
          <w:rFonts w:cs="Arial"/>
          <w:bCs/>
          <w:noProof/>
          <w:color w:val="0D0D0D" w:themeColor="text1" w:themeTint="F2"/>
          <w:lang w:val="en-GB" w:eastAsia="en-GB"/>
        </w:rPr>
        <w:lastRenderedPageBreak/>
        <w:drawing>
          <wp:inline distT="0" distB="0" distL="0" distR="0" wp14:anchorId="2FA0D676" wp14:editId="48502E48">
            <wp:extent cx="4546800" cy="2880000"/>
            <wp:effectExtent l="0" t="0" r="0"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5" cstate="email">
                      <a:extLst>
                        <a:ext uri="{28A0092B-C50C-407E-A947-70E740481C1C}">
                          <a14:useLocalDpi xmlns:a14="http://schemas.microsoft.com/office/drawing/2010/main"/>
                        </a:ext>
                      </a:extLst>
                    </a:blip>
                    <a:stretch>
                      <a:fillRect/>
                    </a:stretch>
                  </pic:blipFill>
                  <pic:spPr>
                    <a:xfrm>
                      <a:off x="0" y="0"/>
                      <a:ext cx="4546800" cy="2880000"/>
                    </a:xfrm>
                    <a:prstGeom prst="rect">
                      <a:avLst/>
                    </a:prstGeom>
                  </pic:spPr>
                </pic:pic>
              </a:graphicData>
            </a:graphic>
          </wp:inline>
        </w:drawing>
      </w:r>
    </w:p>
    <w:p w:rsidR="008B70FE" w:rsidRPr="008B70FE" w:rsidRDefault="008B70FE" w:rsidP="00371383">
      <w:pPr>
        <w:tabs>
          <w:tab w:val="left" w:pos="3550"/>
          <w:tab w:val="left" w:pos="8789"/>
        </w:tabs>
        <w:spacing w:line="360" w:lineRule="auto"/>
        <w:ind w:right="56"/>
        <w:rPr>
          <w:rFonts w:cs="Arial"/>
          <w:bCs/>
          <w:i/>
          <w:color w:val="0D0D0D" w:themeColor="text1" w:themeTint="F2"/>
          <w:sz w:val="18"/>
          <w:lang w:val="en-GB"/>
        </w:rPr>
      </w:pPr>
      <w:r w:rsidRPr="008B70FE">
        <w:rPr>
          <w:rFonts w:cs="Arial"/>
          <w:bCs/>
          <w:i/>
          <w:color w:val="0D0D0D" w:themeColor="text1" w:themeTint="F2"/>
          <w:sz w:val="18"/>
          <w:lang w:val="en-GB"/>
        </w:rPr>
        <w:t xml:space="preserve">The Centaya 3000 Special harrow-mounted seed drill is connected to the </w:t>
      </w:r>
      <w:r>
        <w:rPr>
          <w:rFonts w:cs="Arial"/>
          <w:bCs/>
          <w:i/>
          <w:color w:val="0D0D0D" w:themeColor="text1" w:themeTint="F2"/>
          <w:sz w:val="18"/>
          <w:lang w:val="en-GB"/>
        </w:rPr>
        <w:t xml:space="preserve">new </w:t>
      </w:r>
      <w:r w:rsidRPr="008B70FE">
        <w:rPr>
          <w:rFonts w:cs="Arial"/>
          <w:bCs/>
          <w:i/>
          <w:color w:val="0D0D0D" w:themeColor="text1" w:themeTint="F2"/>
          <w:sz w:val="18"/>
          <w:lang w:val="en-GB"/>
        </w:rPr>
        <w:t>KE 3002-190 Rotamix rotary harrow via the QuickLink quick coupling system</w:t>
      </w:r>
    </w:p>
    <w:p w:rsidR="00330475" w:rsidRDefault="00330475" w:rsidP="00371383">
      <w:pPr>
        <w:tabs>
          <w:tab w:val="left" w:pos="8789"/>
        </w:tabs>
        <w:spacing w:before="0" w:after="160" w:line="360" w:lineRule="auto"/>
        <w:ind w:right="56"/>
        <w:rPr>
          <w:rFonts w:cs="Arial"/>
          <w:color w:val="000000"/>
          <w:sz w:val="22"/>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Default="00EB5A83" w:rsidP="00EB5A83">
      <w:pPr>
        <w:spacing w:before="0" w:after="160" w:line="259" w:lineRule="auto"/>
        <w:jc w:val="left"/>
        <w:rPr>
          <w:rFonts w:cs="Arial"/>
          <w:b/>
          <w:color w:val="000000"/>
          <w:sz w:val="28"/>
          <w:szCs w:val="80"/>
          <w:lang w:val="en-GB"/>
        </w:rPr>
      </w:pPr>
    </w:p>
    <w:p w:rsidR="00EB5A83" w:rsidRPr="00EB5A83" w:rsidRDefault="00EB5A83" w:rsidP="00EB5A83">
      <w:pPr>
        <w:spacing w:before="0" w:after="160" w:line="259" w:lineRule="auto"/>
        <w:jc w:val="left"/>
        <w:rPr>
          <w:rFonts w:cs="Arial"/>
          <w:b/>
          <w:color w:val="000000"/>
          <w:sz w:val="28"/>
          <w:szCs w:val="80"/>
          <w:lang w:val="en-GB"/>
        </w:rPr>
      </w:pPr>
      <w:r w:rsidRPr="00EB5A83">
        <w:rPr>
          <w:rFonts w:cs="Arial"/>
          <w:b/>
          <w:color w:val="000000"/>
          <w:sz w:val="28"/>
          <w:szCs w:val="80"/>
          <w:lang w:val="en-GB"/>
        </w:rPr>
        <w:lastRenderedPageBreak/>
        <w:t>The all-new Teres 300 reversible plough range</w:t>
      </w:r>
    </w:p>
    <w:p w:rsidR="00EB5A83" w:rsidRDefault="00EB5A83" w:rsidP="00EB5A83">
      <w:pPr>
        <w:spacing w:before="0" w:after="160" w:line="360" w:lineRule="auto"/>
        <w:rPr>
          <w:rFonts w:cs="Arial"/>
          <w:color w:val="000000"/>
          <w:sz w:val="22"/>
          <w:szCs w:val="24"/>
          <w:lang w:val="en-GB"/>
        </w:rPr>
      </w:pPr>
      <w:r w:rsidRPr="004C5892">
        <w:rPr>
          <w:rFonts w:cs="Arial"/>
          <w:color w:val="000000"/>
          <w:sz w:val="22"/>
          <w:szCs w:val="24"/>
          <w:lang w:val="en-GB"/>
        </w:rPr>
        <w:t>The Teres 300 is the</w:t>
      </w:r>
      <w:r>
        <w:rPr>
          <w:rFonts w:cs="Arial"/>
          <w:color w:val="000000"/>
          <w:sz w:val="22"/>
          <w:szCs w:val="24"/>
          <w:lang w:val="en-GB"/>
        </w:rPr>
        <w:t xml:space="preserve"> all-</w:t>
      </w:r>
      <w:r w:rsidRPr="004C5892">
        <w:rPr>
          <w:rFonts w:cs="Arial"/>
          <w:color w:val="000000"/>
          <w:sz w:val="22"/>
          <w:szCs w:val="24"/>
          <w:lang w:val="en-GB"/>
        </w:rPr>
        <w:t>new mounted reversible plough from AMAZONE. In 4, 5, and 6 furrows</w:t>
      </w:r>
      <w:r>
        <w:rPr>
          <w:rFonts w:cs="Arial"/>
          <w:color w:val="000000"/>
          <w:sz w:val="22"/>
          <w:szCs w:val="24"/>
          <w:lang w:val="en-GB"/>
        </w:rPr>
        <w:t>,</w:t>
      </w:r>
      <w:r w:rsidRPr="004C5892">
        <w:rPr>
          <w:rFonts w:cs="Arial"/>
          <w:color w:val="000000"/>
          <w:sz w:val="22"/>
          <w:szCs w:val="24"/>
          <w:lang w:val="en-GB"/>
        </w:rPr>
        <w:t xml:space="preserve"> the new mounted plough is designed for tractors with a horsepower rating up to 300 HP. The Teres 300 </w:t>
      </w:r>
      <w:r>
        <w:rPr>
          <w:rFonts w:cs="Arial"/>
          <w:color w:val="000000"/>
          <w:sz w:val="22"/>
          <w:szCs w:val="24"/>
          <w:lang w:val="en-GB"/>
        </w:rPr>
        <w:t>is available in two formats, the Teres 300</w:t>
      </w:r>
      <w:r w:rsidRPr="004C5892">
        <w:rPr>
          <w:rFonts w:cs="Arial"/>
          <w:color w:val="000000"/>
          <w:sz w:val="22"/>
          <w:szCs w:val="24"/>
          <w:lang w:val="en-GB"/>
        </w:rPr>
        <w:t xml:space="preserve"> V</w:t>
      </w:r>
      <w:r>
        <w:rPr>
          <w:rFonts w:cs="Arial"/>
          <w:color w:val="000000"/>
          <w:sz w:val="22"/>
          <w:szCs w:val="24"/>
          <w:lang w:val="en-GB"/>
        </w:rPr>
        <w:t>,</w:t>
      </w:r>
      <w:r w:rsidRPr="004C5892">
        <w:rPr>
          <w:rFonts w:cs="Arial"/>
          <w:color w:val="000000"/>
          <w:sz w:val="22"/>
          <w:szCs w:val="24"/>
          <w:lang w:val="en-GB"/>
        </w:rPr>
        <w:t xml:space="preserve"> or the VS with hydraulic stone release system</w:t>
      </w:r>
      <w:r>
        <w:rPr>
          <w:rFonts w:cs="Arial"/>
          <w:color w:val="000000"/>
          <w:sz w:val="22"/>
          <w:szCs w:val="24"/>
          <w:lang w:val="en-GB"/>
        </w:rPr>
        <w:t xml:space="preserve">; </w:t>
      </w:r>
      <w:r w:rsidRPr="004C5892">
        <w:rPr>
          <w:rFonts w:cs="Arial"/>
          <w:color w:val="000000"/>
          <w:sz w:val="22"/>
          <w:szCs w:val="24"/>
          <w:lang w:val="en-GB"/>
        </w:rPr>
        <w:t xml:space="preserve">both models are equipped with variable furrow width adjustment as standard. </w:t>
      </w:r>
      <w:r>
        <w:rPr>
          <w:rFonts w:cs="Arial"/>
          <w:color w:val="000000"/>
          <w:sz w:val="22"/>
          <w:szCs w:val="24"/>
          <w:lang w:val="en-GB"/>
        </w:rPr>
        <w:t>Designed to keep operating costs, both in diesel usage and wearing metal, to a minimum, t</w:t>
      </w:r>
      <w:r w:rsidRPr="004C5892">
        <w:rPr>
          <w:rFonts w:cs="Arial"/>
          <w:color w:val="000000"/>
          <w:sz w:val="22"/>
          <w:szCs w:val="24"/>
          <w:lang w:val="en-GB"/>
        </w:rPr>
        <w:t xml:space="preserve">he plough is </w:t>
      </w:r>
      <w:r>
        <w:rPr>
          <w:rFonts w:cs="Arial"/>
          <w:color w:val="000000"/>
          <w:sz w:val="22"/>
          <w:szCs w:val="24"/>
          <w:lang w:val="en-GB"/>
        </w:rPr>
        <w:t xml:space="preserve">characterised by </w:t>
      </w:r>
      <w:r w:rsidRPr="004C5892">
        <w:rPr>
          <w:rFonts w:cs="Arial"/>
          <w:color w:val="000000"/>
          <w:sz w:val="22"/>
          <w:szCs w:val="24"/>
          <w:lang w:val="en-GB"/>
        </w:rPr>
        <w:t>its simple adjustment, its exceptional</w:t>
      </w:r>
      <w:r>
        <w:rPr>
          <w:rFonts w:cs="Arial"/>
          <w:color w:val="000000"/>
          <w:sz w:val="22"/>
          <w:szCs w:val="24"/>
          <w:lang w:val="en-GB"/>
        </w:rPr>
        <w:t>ly</w:t>
      </w:r>
      <w:r w:rsidRPr="004C5892">
        <w:rPr>
          <w:rFonts w:cs="Arial"/>
          <w:color w:val="000000"/>
          <w:sz w:val="22"/>
          <w:szCs w:val="24"/>
          <w:lang w:val="en-GB"/>
        </w:rPr>
        <w:t xml:space="preserve"> light pull and </w:t>
      </w:r>
      <w:r>
        <w:rPr>
          <w:rFonts w:cs="Arial"/>
          <w:color w:val="000000"/>
          <w:sz w:val="22"/>
          <w:szCs w:val="24"/>
          <w:lang w:val="en-GB"/>
        </w:rPr>
        <w:t xml:space="preserve">that </w:t>
      </w:r>
      <w:r w:rsidRPr="004C5892">
        <w:rPr>
          <w:rFonts w:cs="Arial"/>
          <w:color w:val="000000"/>
          <w:sz w:val="22"/>
          <w:szCs w:val="24"/>
          <w:lang w:val="en-GB"/>
        </w:rPr>
        <w:t xml:space="preserve">perfect </w:t>
      </w:r>
      <w:r>
        <w:rPr>
          <w:rFonts w:cs="Arial"/>
          <w:color w:val="000000"/>
          <w:sz w:val="22"/>
          <w:szCs w:val="24"/>
          <w:lang w:val="en-GB"/>
        </w:rPr>
        <w:t xml:space="preserve">finish to the </w:t>
      </w:r>
      <w:r w:rsidRPr="004C5892">
        <w:rPr>
          <w:rFonts w:cs="Arial"/>
          <w:color w:val="000000"/>
          <w:sz w:val="22"/>
          <w:szCs w:val="24"/>
          <w:lang w:val="en-GB"/>
        </w:rPr>
        <w:t xml:space="preserve">working profile. </w:t>
      </w:r>
    </w:p>
    <w:p w:rsidR="00EB5A83" w:rsidRPr="00EB5A83" w:rsidRDefault="00EB5A83" w:rsidP="00EB5A83">
      <w:pPr>
        <w:spacing w:before="0" w:after="160" w:line="360" w:lineRule="auto"/>
        <w:rPr>
          <w:rFonts w:cs="Arial"/>
          <w:b/>
          <w:color w:val="000000"/>
          <w:sz w:val="24"/>
          <w:szCs w:val="24"/>
          <w:lang w:val="en-GB"/>
        </w:rPr>
      </w:pPr>
      <w:r w:rsidRPr="00EB5A83">
        <w:rPr>
          <w:rFonts w:cs="Arial"/>
          <w:b/>
          <w:color w:val="000000"/>
          <w:sz w:val="24"/>
          <w:szCs w:val="24"/>
          <w:lang w:val="en-GB"/>
        </w:rPr>
        <w:t>AutoAdapt front furrow width adjustment</w:t>
      </w:r>
    </w:p>
    <w:p w:rsidR="00EB5A83" w:rsidRDefault="00EB5A83" w:rsidP="00EB5A83">
      <w:pPr>
        <w:spacing w:before="0" w:after="160" w:line="360" w:lineRule="auto"/>
        <w:rPr>
          <w:rFonts w:cs="Arial"/>
          <w:color w:val="000000"/>
          <w:sz w:val="22"/>
          <w:szCs w:val="24"/>
          <w:lang w:val="en-GB"/>
        </w:rPr>
      </w:pPr>
      <w:r>
        <w:rPr>
          <w:rFonts w:cs="Arial"/>
          <w:color w:val="000000"/>
          <w:sz w:val="22"/>
          <w:szCs w:val="24"/>
          <w:lang w:val="en-GB"/>
        </w:rPr>
        <w:t>The new ploughs feature the new AutoAdapt front furrow width adjustment which offers a huge advantage in terms of comfort and precision. AutoAdapt means that the front furrow width is adjusted when the overall working width is changed. This is achieved by the parallelogram beam to headstock linkage and a hydraulic connection between the working width cylinder and the front furrow cylinder. AutoAdapt also has a positive effect on both metal wear rates and fuel consumption as the pull line is always maintained square to the lower link cross shaft irrespective of the working width set. The front furrow width can also be over-ridden on the move to ensure the perfect match up, bout on bout, for when ploughing on sloping ground.</w:t>
      </w:r>
    </w:p>
    <w:p w:rsidR="00EB5A83" w:rsidRPr="00EB5A83" w:rsidRDefault="00EB5A83" w:rsidP="00EB5A83">
      <w:pPr>
        <w:spacing w:before="0" w:after="160" w:line="360" w:lineRule="auto"/>
        <w:rPr>
          <w:rFonts w:cs="Arial"/>
          <w:b/>
          <w:color w:val="000000"/>
          <w:sz w:val="24"/>
          <w:szCs w:val="24"/>
          <w:lang w:val="en-GB"/>
        </w:rPr>
      </w:pPr>
      <w:r w:rsidRPr="00EB5A83">
        <w:rPr>
          <w:rFonts w:cs="Arial"/>
          <w:b/>
          <w:color w:val="000000"/>
          <w:sz w:val="24"/>
          <w:szCs w:val="24"/>
          <w:lang w:val="en-GB"/>
        </w:rPr>
        <w:t>SpeedBlade plough bodies reduce running costs</w:t>
      </w:r>
    </w:p>
    <w:p w:rsidR="00EB5A83" w:rsidRDefault="00EB5A83" w:rsidP="00EB5A83">
      <w:pPr>
        <w:spacing w:before="0" w:after="160" w:line="360" w:lineRule="auto"/>
        <w:rPr>
          <w:rFonts w:cs="Arial"/>
          <w:color w:val="000000"/>
          <w:sz w:val="22"/>
          <w:szCs w:val="24"/>
          <w:lang w:val="en-GB"/>
        </w:rPr>
      </w:pPr>
      <w:r w:rsidRPr="004C5892">
        <w:rPr>
          <w:rFonts w:cs="Arial"/>
          <w:color w:val="000000"/>
          <w:sz w:val="22"/>
          <w:szCs w:val="24"/>
          <w:lang w:val="en-GB"/>
        </w:rPr>
        <w:t xml:space="preserve">In addition, the new SpeedBlade plough bodies ensure reduced wear costs, even at higher speeds. </w:t>
      </w:r>
      <w:r>
        <w:rPr>
          <w:rFonts w:cs="Arial"/>
          <w:color w:val="000000"/>
          <w:sz w:val="22"/>
          <w:szCs w:val="24"/>
          <w:lang w:val="en-GB"/>
        </w:rPr>
        <w:t xml:space="preserve">As ploughing speeds increase, the soil flow up the mouldboard changes and the wear takes place outside of the normal shin area. The new SpeedBlade mouldboard consists of a new extended shin which is then able to be replaced much more cheaply than having to replace the complete mouldboard. This cuts the running cost of the machine. Secondly, the point and wing overlap each other to prevent string and roots getting trapping in between. </w:t>
      </w:r>
    </w:p>
    <w:p w:rsidR="00EB5A83" w:rsidRPr="00EB5A83" w:rsidRDefault="00EB5A83" w:rsidP="00EB5A83">
      <w:pPr>
        <w:spacing w:before="0" w:after="160" w:line="360" w:lineRule="auto"/>
        <w:rPr>
          <w:rFonts w:cs="Arial"/>
          <w:b/>
          <w:color w:val="000000"/>
          <w:sz w:val="24"/>
          <w:szCs w:val="24"/>
          <w:lang w:val="en-GB"/>
        </w:rPr>
      </w:pPr>
      <w:r w:rsidRPr="00EB5A83">
        <w:rPr>
          <w:rFonts w:cs="Arial"/>
          <w:b/>
          <w:color w:val="000000"/>
          <w:sz w:val="24"/>
          <w:szCs w:val="24"/>
          <w:lang w:val="en-GB"/>
        </w:rPr>
        <w:t>Either shear bolt or hydraulic stone protection – the choice is yours</w:t>
      </w:r>
    </w:p>
    <w:p w:rsidR="00EB5A83" w:rsidRDefault="00EB5A83" w:rsidP="00EB5A83">
      <w:pPr>
        <w:spacing w:before="0" w:after="160" w:line="360" w:lineRule="auto"/>
        <w:rPr>
          <w:rFonts w:cs="Arial"/>
          <w:color w:val="000000"/>
          <w:sz w:val="22"/>
          <w:szCs w:val="24"/>
          <w:lang w:val="en-GB"/>
        </w:rPr>
      </w:pPr>
      <w:r>
        <w:rPr>
          <w:rFonts w:cs="Arial"/>
          <w:color w:val="000000"/>
          <w:sz w:val="22"/>
          <w:szCs w:val="24"/>
          <w:lang w:val="en-GB"/>
        </w:rPr>
        <w:t xml:space="preserve">The new hydraulic stone release system protects the plough in stony ground; the pressure on which can be set centrally, or on each body individually, up a maximum trip force of 2,000kg. This runs alongside the conventional double-action shear bolt. </w:t>
      </w:r>
    </w:p>
    <w:p w:rsidR="00EB5A83" w:rsidRPr="00EB5A83" w:rsidRDefault="00EB5A83" w:rsidP="00EB5A83">
      <w:pPr>
        <w:spacing w:before="0" w:after="160" w:line="360" w:lineRule="auto"/>
        <w:rPr>
          <w:rFonts w:cs="Arial"/>
          <w:b/>
          <w:color w:val="000000"/>
          <w:sz w:val="24"/>
          <w:szCs w:val="24"/>
          <w:lang w:val="en-GB"/>
        </w:rPr>
      </w:pPr>
      <w:r w:rsidRPr="00EB5A83">
        <w:rPr>
          <w:rFonts w:cs="Arial"/>
          <w:b/>
          <w:color w:val="000000"/>
          <w:sz w:val="24"/>
          <w:szCs w:val="24"/>
          <w:lang w:val="en-GB"/>
        </w:rPr>
        <w:t>SmartTurn has been designed to cut out pivot wear and tear</w:t>
      </w:r>
    </w:p>
    <w:p w:rsidR="00EB5A83" w:rsidRDefault="00EB5A83" w:rsidP="00EB5A83">
      <w:pPr>
        <w:spacing w:before="0" w:after="160" w:line="360" w:lineRule="auto"/>
        <w:rPr>
          <w:rFonts w:cs="Arial"/>
          <w:color w:val="000000"/>
          <w:sz w:val="22"/>
          <w:szCs w:val="24"/>
          <w:lang w:val="en-GB"/>
        </w:rPr>
      </w:pPr>
      <w:r>
        <w:rPr>
          <w:rFonts w:cs="Arial"/>
          <w:color w:val="000000"/>
          <w:sz w:val="22"/>
          <w:szCs w:val="24"/>
          <w:lang w:val="en-GB"/>
        </w:rPr>
        <w:t xml:space="preserve">And the design of the plough is all about longevity; with its exceptional beam strength, the </w:t>
      </w:r>
      <w:proofErr w:type="spellStart"/>
      <w:r>
        <w:rPr>
          <w:rFonts w:cs="Arial"/>
          <w:color w:val="000000"/>
          <w:sz w:val="22"/>
          <w:szCs w:val="24"/>
          <w:lang w:val="en-GB"/>
        </w:rPr>
        <w:t>ProtectShaft</w:t>
      </w:r>
      <w:proofErr w:type="spellEnd"/>
      <w:r>
        <w:rPr>
          <w:rFonts w:cs="Arial"/>
          <w:color w:val="000000"/>
          <w:sz w:val="22"/>
          <w:szCs w:val="24"/>
          <w:lang w:val="en-GB"/>
        </w:rPr>
        <w:t xml:space="preserve"> lower link mounting, where the cross shaft is carried in bearings to take out the shock load of the plough turning over and when on the road, as well as the gentle SmartTurn turn-over system. SmartTurn actuates the frame </w:t>
      </w:r>
      <w:r>
        <w:rPr>
          <w:rFonts w:cs="Arial"/>
          <w:color w:val="000000"/>
          <w:sz w:val="22"/>
          <w:szCs w:val="24"/>
          <w:lang w:val="en-GB"/>
        </w:rPr>
        <w:lastRenderedPageBreak/>
        <w:t>swivel cylinder to enable sufficient ground clearance to turn the plough over without having to close up the furrow width on every end, this removes that risk of pivot bearing wear and tear over the years.</w:t>
      </w:r>
    </w:p>
    <w:p w:rsidR="00EB5A83" w:rsidRDefault="00EB5A83" w:rsidP="008B70FE">
      <w:pPr>
        <w:tabs>
          <w:tab w:val="left" w:pos="8789"/>
        </w:tabs>
        <w:spacing w:before="0" w:after="160" w:line="360" w:lineRule="auto"/>
        <w:ind w:right="56"/>
        <w:rPr>
          <w:rFonts w:cs="Arial"/>
          <w:color w:val="000000"/>
          <w:sz w:val="22"/>
          <w:lang w:val="en-GB"/>
        </w:rPr>
      </w:pPr>
      <w:r>
        <w:rPr>
          <w:rFonts w:cs="Arial"/>
          <w:noProof/>
          <w:color w:val="000000"/>
          <w:sz w:val="22"/>
          <w:lang w:val="en-GB" w:eastAsia="en-GB"/>
        </w:rPr>
        <w:drawing>
          <wp:inline distT="0" distB="0" distL="0" distR="0">
            <wp:extent cx="5118322" cy="34099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eres300VS_Deutz_d0_kw_DJI_0019_d1_220126.jpg"/>
                    <pic:cNvPicPr/>
                  </pic:nvPicPr>
                  <pic:blipFill>
                    <a:blip r:embed="rId16" cstate="email">
                      <a:extLst>
                        <a:ext uri="{28A0092B-C50C-407E-A947-70E740481C1C}">
                          <a14:useLocalDpi xmlns:a14="http://schemas.microsoft.com/office/drawing/2010/main"/>
                        </a:ext>
                      </a:extLst>
                    </a:blip>
                    <a:stretch>
                      <a:fillRect/>
                    </a:stretch>
                  </pic:blipFill>
                  <pic:spPr>
                    <a:xfrm>
                      <a:off x="0" y="0"/>
                      <a:ext cx="5119949" cy="3411034"/>
                    </a:xfrm>
                    <a:prstGeom prst="rect">
                      <a:avLst/>
                    </a:prstGeom>
                  </pic:spPr>
                </pic:pic>
              </a:graphicData>
            </a:graphic>
          </wp:inline>
        </w:drawing>
      </w:r>
    </w:p>
    <w:p w:rsidR="00120387" w:rsidRDefault="00120387" w:rsidP="008B70FE">
      <w:pPr>
        <w:tabs>
          <w:tab w:val="left" w:pos="8789"/>
        </w:tabs>
        <w:spacing w:before="0" w:after="160" w:line="360" w:lineRule="auto"/>
        <w:ind w:right="56"/>
        <w:rPr>
          <w:rFonts w:cs="Arial"/>
          <w:i/>
          <w:color w:val="000000"/>
          <w:sz w:val="18"/>
          <w:lang w:val="en-GB"/>
        </w:rPr>
      </w:pPr>
      <w:r w:rsidRPr="00120387">
        <w:rPr>
          <w:rFonts w:cs="Arial"/>
          <w:i/>
          <w:color w:val="000000"/>
          <w:sz w:val="18"/>
          <w:lang w:val="en-GB"/>
        </w:rPr>
        <w:t>The Teres 300 reversible plough is available in 4 to 6 furrows</w:t>
      </w:r>
    </w:p>
    <w:p w:rsidR="00120387" w:rsidRDefault="00120387" w:rsidP="008B70FE">
      <w:pPr>
        <w:tabs>
          <w:tab w:val="left" w:pos="8789"/>
        </w:tabs>
        <w:spacing w:before="0" w:after="160" w:line="360" w:lineRule="auto"/>
        <w:ind w:right="56"/>
        <w:rPr>
          <w:rFonts w:cs="Arial"/>
          <w:i/>
          <w:color w:val="000000"/>
          <w:sz w:val="18"/>
          <w:lang w:val="en-GB"/>
        </w:rPr>
      </w:pPr>
      <w:r>
        <w:rPr>
          <w:noProof/>
          <w:lang w:val="en-GB" w:eastAsia="en-GB"/>
        </w:rPr>
        <w:drawing>
          <wp:inline distT="0" distB="0" distL="0" distR="0" wp14:anchorId="06E4CDFA" wp14:editId="05DB37D5">
            <wp:extent cx="5019675" cy="3346607"/>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email">
                      <a:extLst>
                        <a:ext uri="{28A0092B-C50C-407E-A947-70E740481C1C}">
                          <a14:useLocalDpi xmlns:a14="http://schemas.microsoft.com/office/drawing/2010/main"/>
                        </a:ext>
                      </a:extLst>
                    </a:blip>
                    <a:stretch>
                      <a:fillRect/>
                    </a:stretch>
                  </pic:blipFill>
                  <pic:spPr>
                    <a:xfrm>
                      <a:off x="0" y="0"/>
                      <a:ext cx="5036757" cy="3357996"/>
                    </a:xfrm>
                    <a:prstGeom prst="rect">
                      <a:avLst/>
                    </a:prstGeom>
                  </pic:spPr>
                </pic:pic>
              </a:graphicData>
            </a:graphic>
          </wp:inline>
        </w:drawing>
      </w:r>
    </w:p>
    <w:p w:rsidR="00120387" w:rsidRPr="00120387" w:rsidRDefault="00120387" w:rsidP="008B70FE">
      <w:pPr>
        <w:tabs>
          <w:tab w:val="left" w:pos="8789"/>
        </w:tabs>
        <w:spacing w:before="0" w:after="160" w:line="360" w:lineRule="auto"/>
        <w:ind w:right="56"/>
        <w:rPr>
          <w:rFonts w:cs="Arial"/>
          <w:i/>
          <w:color w:val="000000"/>
          <w:sz w:val="18"/>
          <w:lang w:val="en-GB"/>
        </w:rPr>
      </w:pPr>
      <w:r>
        <w:rPr>
          <w:rFonts w:cs="Arial"/>
          <w:i/>
          <w:color w:val="000000"/>
          <w:sz w:val="18"/>
          <w:lang w:val="en-GB"/>
        </w:rPr>
        <w:t>The SpeedBlade plough metal with its extended shin area reduces running costs by increasing the lifespan of the main mouldboard</w:t>
      </w:r>
    </w:p>
    <w:sectPr w:rsidR="00120387" w:rsidRPr="00120387" w:rsidSect="00570D5D">
      <w:headerReference w:type="default" r:id="rId18"/>
      <w:footerReference w:type="default" r:id="rId19"/>
      <w:pgSz w:w="11906" w:h="16838"/>
      <w:pgMar w:top="181" w:right="680" w:bottom="1134" w:left="680"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981" w:rsidRDefault="00D45981" w:rsidP="007D165F">
      <w:r>
        <w:separator/>
      </w:r>
    </w:p>
  </w:endnote>
  <w:endnote w:type="continuationSeparator" w:id="0">
    <w:p w:rsidR="00D45981" w:rsidRDefault="00D45981" w:rsidP="007D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leftFromText="142" w:rightFromText="142" w:vertAnchor="page" w:horzAnchor="page" w:tblpX="285" w:tblpY="15423"/>
      <w:tblOverlap w:val="never"/>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835"/>
    </w:tblGrid>
    <w:tr w:rsidR="00E70773" w:rsidRPr="00091011" w:rsidTr="00E70773">
      <w:trPr>
        <w:trHeight w:hRule="exact" w:val="454"/>
      </w:trPr>
      <w:tc>
        <w:tcPr>
          <w:tcW w:w="8505" w:type="dxa"/>
          <w:vAlign w:val="center"/>
        </w:tcPr>
        <w:p w:rsidR="00E70773" w:rsidRPr="001C0576" w:rsidRDefault="00E70773" w:rsidP="00195158">
          <w:pPr>
            <w:pStyle w:val="AmazoneFuzeile"/>
            <w:framePr w:hSpace="0" w:wrap="auto" w:vAnchor="margin" w:hAnchor="text" w:xAlign="left" w:yAlign="inline"/>
            <w:suppressOverlap w:val="0"/>
            <w:jc w:val="left"/>
            <w:rPr>
              <w:lang w:val="en-GB"/>
            </w:rPr>
          </w:pPr>
        </w:p>
      </w:tc>
      <w:tc>
        <w:tcPr>
          <w:tcW w:w="2835" w:type="dxa"/>
          <w:vAlign w:val="center"/>
        </w:tcPr>
        <w:p w:rsidR="00E70773" w:rsidRPr="00FB245A" w:rsidRDefault="00E70773" w:rsidP="00195158">
          <w:pPr>
            <w:pStyle w:val="AmazoneFuzeile"/>
            <w:framePr w:hSpace="0" w:wrap="auto" w:vAnchor="margin" w:hAnchor="text" w:xAlign="left" w:yAlign="inline"/>
            <w:suppressOverlap w:val="0"/>
            <w:jc w:val="right"/>
          </w:pPr>
          <w:r>
            <w:t>Page</w:t>
          </w:r>
          <w:r w:rsidRPr="00FB245A">
            <w:rPr>
              <w:b/>
              <w:bCs/>
            </w:rPr>
            <w:t xml:space="preserve"> </w:t>
          </w:r>
          <w:r w:rsidRPr="00FB245A">
            <w:rPr>
              <w:rStyle w:val="PageNumber"/>
              <w:rFonts w:cs="Arial"/>
            </w:rPr>
            <w:fldChar w:fldCharType="begin"/>
          </w:r>
          <w:r w:rsidRPr="00FB245A">
            <w:rPr>
              <w:rStyle w:val="PageNumber"/>
              <w:rFonts w:cs="Arial"/>
            </w:rPr>
            <w:instrText xml:space="preserve"> PAGE </w:instrText>
          </w:r>
          <w:r w:rsidRPr="00FB245A">
            <w:rPr>
              <w:rStyle w:val="PageNumber"/>
              <w:rFonts w:cs="Arial"/>
            </w:rPr>
            <w:fldChar w:fldCharType="separate"/>
          </w:r>
          <w:r w:rsidR="00E06412">
            <w:rPr>
              <w:rStyle w:val="PageNumber"/>
              <w:rFonts w:cs="Arial"/>
              <w:noProof/>
            </w:rPr>
            <w:t>11</w:t>
          </w:r>
          <w:r w:rsidRPr="00FB245A">
            <w:rPr>
              <w:rStyle w:val="PageNumber"/>
              <w:rFonts w:cs="Arial"/>
            </w:rPr>
            <w:fldChar w:fldCharType="end"/>
          </w:r>
          <w:r w:rsidRPr="00FB245A">
            <w:t xml:space="preserve"> </w:t>
          </w:r>
          <w:proofErr w:type="spellStart"/>
          <w:r>
            <w:t>of</w:t>
          </w:r>
          <w:proofErr w:type="spellEnd"/>
          <w:r w:rsidRPr="00FB245A">
            <w:t xml:space="preserve"> </w:t>
          </w:r>
          <w:r w:rsidRPr="00FB245A">
            <w:rPr>
              <w:rStyle w:val="PageNumber"/>
              <w:rFonts w:cs="Arial"/>
            </w:rPr>
            <w:fldChar w:fldCharType="begin"/>
          </w:r>
          <w:r w:rsidRPr="00FB245A">
            <w:rPr>
              <w:rStyle w:val="PageNumber"/>
              <w:rFonts w:cs="Arial"/>
            </w:rPr>
            <w:instrText xml:space="preserve"> NUMPAGES </w:instrText>
          </w:r>
          <w:r w:rsidRPr="00FB245A">
            <w:rPr>
              <w:rStyle w:val="PageNumber"/>
              <w:rFonts w:cs="Arial"/>
            </w:rPr>
            <w:fldChar w:fldCharType="separate"/>
          </w:r>
          <w:r w:rsidR="00E06412">
            <w:rPr>
              <w:rStyle w:val="PageNumber"/>
              <w:rFonts w:cs="Arial"/>
              <w:noProof/>
            </w:rPr>
            <w:t>11</w:t>
          </w:r>
          <w:r w:rsidRPr="00FB245A">
            <w:rPr>
              <w:rStyle w:val="PageNumber"/>
              <w:rFonts w:cs="Arial"/>
            </w:rPr>
            <w:fldChar w:fldCharType="end"/>
          </w:r>
        </w:p>
      </w:tc>
    </w:tr>
    <w:tr w:rsidR="00E70773" w:rsidRPr="000B7666" w:rsidTr="00E70773">
      <w:trPr>
        <w:trHeight w:hRule="exact" w:val="510"/>
      </w:trPr>
      <w:tc>
        <w:tcPr>
          <w:tcW w:w="11340" w:type="dxa"/>
          <w:gridSpan w:val="2"/>
          <w:vAlign w:val="bottom"/>
        </w:tcPr>
        <w:p w:rsidR="00E70773" w:rsidRPr="00253C92" w:rsidRDefault="00E70773" w:rsidP="00573320">
          <w:pPr>
            <w:pStyle w:val="AmazoneFuzeile"/>
            <w:framePr w:hSpace="0" w:wrap="auto" w:vAnchor="margin" w:hAnchor="text" w:xAlign="left" w:yAlign="inline"/>
            <w:suppressOverlap w:val="0"/>
            <w:rPr>
              <w:color w:val="939598"/>
              <w:lang w:val="en-GB"/>
            </w:rPr>
          </w:pPr>
          <w:r w:rsidRPr="00253C92">
            <w:rPr>
              <w:color w:val="939598"/>
              <w:lang w:val="en-GB"/>
            </w:rPr>
            <w:t xml:space="preserve">AMAZONE Ltd, Orchard Farm, Hurst Lane, Auckley, Doncaster, South </w:t>
          </w:r>
          <w:proofErr w:type="spellStart"/>
          <w:r w:rsidRPr="00253C92">
            <w:rPr>
              <w:color w:val="939598"/>
              <w:lang w:val="en-GB"/>
            </w:rPr>
            <w:t>Yorks</w:t>
          </w:r>
          <w:proofErr w:type="spellEnd"/>
          <w:r w:rsidRPr="00253C92">
            <w:rPr>
              <w:color w:val="939598"/>
              <w:lang w:val="en-GB"/>
            </w:rPr>
            <w:t>, DN9 3NW</w:t>
          </w:r>
        </w:p>
        <w:p w:rsidR="00E70773" w:rsidRPr="00573320" w:rsidRDefault="00E70773" w:rsidP="00573320">
          <w:pPr>
            <w:pStyle w:val="AmazoneFuzeile"/>
            <w:framePr w:hSpace="0" w:wrap="auto" w:vAnchor="margin" w:hAnchor="text" w:xAlign="left" w:yAlign="inline"/>
            <w:suppressOverlap w:val="0"/>
            <w:rPr>
              <w:lang w:val="en-GB"/>
            </w:rPr>
          </w:pPr>
          <w:r w:rsidRPr="00253C92">
            <w:rPr>
              <w:color w:val="939598"/>
              <w:lang w:val="en-GB"/>
            </w:rPr>
            <w:t>Telephone: 01302 751200 ∙ www.amazone.co.uk ∙ E-mail: info@amazone.co.uk</w:t>
          </w:r>
        </w:p>
      </w:tc>
    </w:tr>
  </w:tbl>
  <w:p w:rsidR="00E70773" w:rsidRPr="00091011" w:rsidRDefault="00E70773" w:rsidP="00A841A7">
    <w:pPr>
      <w:spacing w:before="60"/>
      <w:ind w:left="39" w:right="58"/>
      <w:rPr>
        <w:color w:val="636466"/>
        <w:sz w:val="14"/>
        <w:szCs w:val="14"/>
      </w:rPr>
    </w:pPr>
    <w:r>
      <w:rPr>
        <w:noProof/>
        <w:color w:val="636466"/>
        <w:sz w:val="14"/>
        <w:szCs w:val="14"/>
        <w:lang w:val="en-GB" w:eastAsia="en-GB"/>
      </w:rPr>
      <mc:AlternateContent>
        <mc:Choice Requires="wpg">
          <w:drawing>
            <wp:anchor distT="0" distB="0" distL="114300" distR="114300" simplePos="0" relativeHeight="251735040" behindDoc="0" locked="1" layoutInCell="1" allowOverlap="1" wp14:anchorId="61D663FF" wp14:editId="78C71F60">
              <wp:simplePos x="0" y="0"/>
              <wp:positionH relativeFrom="page">
                <wp:posOffset>180975</wp:posOffset>
              </wp:positionH>
              <wp:positionV relativeFrom="page">
                <wp:posOffset>9792970</wp:posOffset>
              </wp:positionV>
              <wp:extent cx="7199630" cy="626110"/>
              <wp:effectExtent l="0" t="0" r="39370" b="21590"/>
              <wp:wrapNone/>
              <wp:docPr id="509" name="Tabelle Fußzeile"/>
              <wp:cNvGraphicFramePr/>
              <a:graphic xmlns:a="http://schemas.openxmlformats.org/drawingml/2006/main">
                <a:graphicData uri="http://schemas.microsoft.com/office/word/2010/wordprocessingGroup">
                  <wpg:wgp>
                    <wpg:cNvGrpSpPr/>
                    <wpg:grpSpPr>
                      <a:xfrm>
                        <a:off x="0" y="0"/>
                        <a:ext cx="7199630" cy="626110"/>
                        <a:chOff x="0" y="-2305"/>
                        <a:chExt cx="7201040" cy="627322"/>
                      </a:xfrm>
                    </wpg:grpSpPr>
                    <wps:wsp>
                      <wps:cNvPr id="510" name="Gerader Verbinder 510"/>
                      <wps:cNvCnPr/>
                      <wps:spPr>
                        <a:xfrm flipV="1">
                          <a:off x="0" y="2381"/>
                          <a:ext cx="7200000" cy="0"/>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s:wsp>
                      <wps:cNvPr id="511" name="Gerader Verbinder 511"/>
                      <wps:cNvCnPr/>
                      <wps:spPr>
                        <a:xfrm>
                          <a:off x="0" y="2381"/>
                          <a:ext cx="0" cy="622636"/>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s:wsp>
                      <wps:cNvPr id="525" name="Gerader Verbinder 525"/>
                      <wps:cNvCnPr/>
                      <wps:spPr>
                        <a:xfrm flipH="1">
                          <a:off x="7200828" y="-2305"/>
                          <a:ext cx="212" cy="622636"/>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s:wsp>
                      <wps:cNvPr id="526" name="Gerader Verbinder 526"/>
                      <wps:cNvCnPr/>
                      <wps:spPr>
                        <a:xfrm>
                          <a:off x="71438" y="291958"/>
                          <a:ext cx="7055485" cy="0"/>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s:wsp>
                      <wps:cNvPr id="529" name="Gerader Verbinder 529"/>
                      <wps:cNvCnPr/>
                      <wps:spPr>
                        <a:xfrm>
                          <a:off x="5400998" y="76300"/>
                          <a:ext cx="0" cy="215626"/>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0DCBF96" id="Tabelle Fußzeile" o:spid="_x0000_s1026" style="position:absolute;margin-left:14.25pt;margin-top:771.1pt;width:566.9pt;height:49.3pt;z-index:251735040;mso-position-horizontal-relative:page;mso-position-vertical-relative:page;mso-width-relative:margin;mso-height-relative:margin" coordorigin=",-23" coordsize="72010,6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">
              <v:line id="Gerader Verbinder 510" o:spid="_x0000_s1027" style="position:absolute;flip:y;visibility:visible;mso-wrap-style:square" from="0,23" to="7200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sGlcYAAADcAAAADwAAAGRycy9kb3ducmV2LnhtbESPy27CQAxF90j9h5ErsSsTKmirkAlC&#10;rVohNjzCB5iMSdJmPFFmCunf1wskltb1PfbJloNr1YX60Hg2MJ0koIhLbxuuDByLz6c3UCEiW2w9&#10;k4E/CrDMH0YZptZfeU+XQ6yUQDikaKCOsUu1DmVNDsPEd8SSnX3vMMrYV9r2eBW4a/Vzkrxohw3L&#10;hRo7eq+p/Dn8OqHsitfq9P2xTYrwtW1X89nGlWtjxo/DagEq0hDvy7f22hqYT+V9kRER0P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LBpXGAAAA3AAAAA8AAAAAAAAA&#10;AAAAAAAAoQIAAGRycy9kb3ducmV2LnhtbFBLBQYAAAAABAAEAPkAAACUAwAAAAA=&#10;" strokecolor="#dcdedd" strokeweight=".5pt">
                <v:stroke joinstyle="miter"/>
              </v:line>
              <v:line id="Gerader Verbinder 511" o:spid="_x0000_s1028" style="position:absolute;visibility:visible;mso-wrap-style:square" from="0,23" to="0,6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DXucQAAADcAAAADwAAAGRycy9kb3ducmV2LnhtbESPT4vCMBTE74LfITzBm6Z1V5FqFFkR&#10;hPWy/gGPj+bZFpuXkkRbv71ZWNjjMDO/YZbrztTiSc5XlhWk4wQEcW51xYWC82k3moPwAVljbZkU&#10;vMjDetXvLTHTtuUfeh5DISKEfYYKyhCaTEqfl2TQj21DHL2bdQZDlK6Q2mEb4aaWkySZSYMVx4US&#10;G/oqKb8fH0ZBcbgePh+WpZueJ/XH9jvdbduLUsNBt1mACNSF//Bfe68VTNMU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UNe5xAAAANwAAAAPAAAAAAAAAAAA&#10;AAAAAKECAABkcnMvZG93bnJldi54bWxQSwUGAAAAAAQABAD5AAAAkgMAAAAA&#10;" strokecolor="#dcdedd" strokeweight=".5pt">
                <v:stroke joinstyle="miter"/>
              </v:line>
              <v:line id="Gerader Verbinder 525" o:spid="_x0000_s1029" style="position:absolute;flip:x;visibility:visible;mso-wrap-style:square" from="72008,-23" to="72010,6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BvsMUAAADcAAAADwAAAGRycy9kb3ducmV2LnhtbESP0WrCQBRE3wv+w3KFvumm0rQSsxFR&#10;KqEvWuMHXLO3Sdrs3ZDdmvj33YLQx2FmzjDpejStuFLvGssKnuYRCOLS6oYrBefibbYE4TyyxtYy&#10;KbiRg3U2eUgx0XbgD7qefCUChF2CCmrvu0RKV9Zk0M1tRxy8T9sb9EH2ldQ9DgFuWrmIohdpsOGw&#10;UGNH25rK79OPCZRj8VpdvnaHqHD7Q7uJn99NmSv1OB03KxCeRv8fvrdzrSBexPB3JhwB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5BvsMUAAADcAAAADwAAAAAAAAAA&#10;AAAAAAChAgAAZHJzL2Rvd25yZXYueG1sUEsFBgAAAAAEAAQA+QAAAJMDAAAAAA==&#10;" strokecolor="#dcdedd" strokeweight=".5pt">
                <v:stroke joinstyle="miter"/>
              </v:line>
              <v:line id="Gerader Verbinder 526" o:spid="_x0000_s1030" style="position:absolute;visibility:visible;mso-wrap-style:square" from="714,2919" to="71269,2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WFcMUAAADcAAAADwAAAGRycy9kb3ducmV2LnhtbESPQWvCQBSE74L/YXlCb2ZjWqWkriKV&#10;QKFealPo8ZF9TYLZt2F3TeK/dwuFHoeZ+YbZ7ifTiYGcby0rWCUpCOLK6pZrBeVnsXwG4QOyxs4y&#10;KbiRh/1uPttiru3IHzScQy0ihH2OCpoQ+lxKXzVk0Ce2J47ej3UGQ5SultrhGOGmk1mabqTBluNC&#10;gz29NlRdzlejoD59n56ulqVbl1n3eHxfFcfxS6mHxXR4ARFoCv/hv/abVrDONvB7Jh4Bu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dWFcMUAAADcAAAADwAAAAAAAAAA&#10;AAAAAAChAgAAZHJzL2Rvd25yZXYueG1sUEsFBgAAAAAEAAQA+QAAAJMDAAAAAA==&#10;" strokecolor="#dcdedd" strokeweight=".5pt">
                <v:stroke joinstyle="miter"/>
              </v:line>
              <v:line id="Gerader Verbinder 529" o:spid="_x0000_s1031" style="position:absolute;visibility:visible;mso-wrap-style:square" from="54009,763" to="54009,2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oRAsUAAADcAAAADwAAAGRycy9kb3ducmV2LnhtbESPT2vCQBTE70K/w/IK3nRj/EObuooo&#10;QkEvphZ6fGRfk9Ds27C7mvTbu4LgcZiZ3zDLdW8acSXna8sKJuMEBHFhdc2lgvPXfvQGwgdkjY1l&#10;UvBPHtarl8ESM207PtE1D6WIEPYZKqhCaDMpfVGRQT+2LXH0fq0zGKJ0pdQOuwg3jUyTZCEN1hwX&#10;KmxpW1Hxl1+MgvL4c5xdLEs3P6fNdHeY7Hfdt1LD137zASJQH57hR/tTK5in73A/E4+AX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oRAsUAAADcAAAADwAAAAAAAAAA&#10;AAAAAAChAgAAZHJzL2Rvd25yZXYueG1sUEsFBgAAAAAEAAQA+QAAAJMDAAAAAA==&#10;" strokecolor="#dcdedd" strokeweight=".5pt">
                <v:stroke joinstyle="miter"/>
              </v:line>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981" w:rsidRDefault="00D45981" w:rsidP="007D165F">
      <w:r>
        <w:separator/>
      </w:r>
    </w:p>
  </w:footnote>
  <w:footnote w:type="continuationSeparator" w:id="0">
    <w:p w:rsidR="00D45981" w:rsidRDefault="00D45981" w:rsidP="007D1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773" w:rsidRPr="00B65B4E" w:rsidRDefault="00E70773" w:rsidP="00861167">
    <w:pPr>
      <w:pStyle w:val="Header"/>
      <w:tabs>
        <w:tab w:val="clear" w:pos="4536"/>
        <w:tab w:val="clear" w:pos="9072"/>
        <w:tab w:val="left" w:pos="880"/>
      </w:tabs>
      <w:rPr>
        <w:sz w:val="10"/>
        <w:szCs w:val="18"/>
      </w:rPr>
    </w:pPr>
    <w:r w:rsidRPr="00B65B4E">
      <w:rPr>
        <w:noProof/>
        <w:sz w:val="10"/>
        <w:szCs w:val="18"/>
        <w:lang w:val="en-GB" w:eastAsia="en-GB"/>
      </w:rPr>
      <mc:AlternateContent>
        <mc:Choice Requires="wpg">
          <w:drawing>
            <wp:anchor distT="0" distB="0" distL="114300" distR="114300" simplePos="0" relativeHeight="251729920" behindDoc="0" locked="1" layoutInCell="1" allowOverlap="1" wp14:anchorId="3C398969" wp14:editId="06594F26">
              <wp:simplePos x="0" y="0"/>
              <wp:positionH relativeFrom="page">
                <wp:posOffset>171450</wp:posOffset>
              </wp:positionH>
              <wp:positionV relativeFrom="page">
                <wp:posOffset>179070</wp:posOffset>
              </wp:positionV>
              <wp:extent cx="7203440" cy="1087120"/>
              <wp:effectExtent l="0" t="0" r="16510" b="17780"/>
              <wp:wrapSquare wrapText="bothSides"/>
              <wp:docPr id="463" name="Kopfzeile inkl. Logo"/>
              <wp:cNvGraphicFramePr/>
              <a:graphic xmlns:a="http://schemas.openxmlformats.org/drawingml/2006/main">
                <a:graphicData uri="http://schemas.microsoft.com/office/word/2010/wordprocessingGroup">
                  <wpg:wgp>
                    <wpg:cNvGrpSpPr/>
                    <wpg:grpSpPr>
                      <a:xfrm>
                        <a:off x="0" y="0"/>
                        <a:ext cx="7203440" cy="1087120"/>
                        <a:chOff x="4572" y="2491"/>
                        <a:chExt cx="7207321" cy="1086865"/>
                      </a:xfrm>
                    </wpg:grpSpPr>
                    <wps:wsp>
                      <wps:cNvPr id="464" name="Shape 412"/>
                      <wps:cNvSpPr/>
                      <wps:spPr>
                        <a:xfrm>
                          <a:off x="8021" y="4011"/>
                          <a:ext cx="7203872" cy="360262"/>
                        </a:xfrm>
                        <a:custGeom>
                          <a:avLst/>
                          <a:gdLst/>
                          <a:ahLst/>
                          <a:cxnLst/>
                          <a:rect l="0" t="0" r="0" b="0"/>
                          <a:pathLst>
                            <a:path w="7196912" h="359842">
                              <a:moveTo>
                                <a:pt x="0" y="0"/>
                              </a:moveTo>
                              <a:lnTo>
                                <a:pt x="7196912" y="0"/>
                              </a:lnTo>
                              <a:lnTo>
                                <a:pt x="7196912" y="359842"/>
                              </a:lnTo>
                              <a:lnTo>
                                <a:pt x="0" y="359842"/>
                              </a:lnTo>
                              <a:lnTo>
                                <a:pt x="0" y="0"/>
                              </a:lnTo>
                            </a:path>
                          </a:pathLst>
                        </a:custGeom>
                        <a:ln w="0" cap="flat">
                          <a:miter lim="127000"/>
                        </a:ln>
                      </wps:spPr>
                      <wps:style>
                        <a:lnRef idx="0">
                          <a:srgbClr val="000000">
                            <a:alpha val="0"/>
                          </a:srgbClr>
                        </a:lnRef>
                        <a:fillRef idx="1">
                          <a:srgbClr val="DCDEDD"/>
                        </a:fillRef>
                        <a:effectRef idx="0">
                          <a:scrgbClr r="0" g="0" b="0"/>
                        </a:effectRef>
                        <a:fontRef idx="none"/>
                      </wps:style>
                      <wps:bodyPr/>
                    </wps:wsp>
                    <wps:wsp>
                      <wps:cNvPr id="465" name="Shape 7"/>
                      <wps:cNvSpPr/>
                      <wps:spPr>
                        <a:xfrm>
                          <a:off x="4572" y="4009"/>
                          <a:ext cx="2736103" cy="504367"/>
                        </a:xfrm>
                        <a:custGeom>
                          <a:avLst/>
                          <a:gdLst/>
                          <a:ahLst/>
                          <a:cxnLst/>
                          <a:rect l="0" t="0" r="0" b="0"/>
                          <a:pathLst>
                            <a:path w="2736914" h="503783">
                              <a:moveTo>
                                <a:pt x="0" y="0"/>
                              </a:moveTo>
                              <a:lnTo>
                                <a:pt x="2736914" y="0"/>
                              </a:lnTo>
                              <a:lnTo>
                                <a:pt x="2448789" y="503783"/>
                              </a:lnTo>
                              <a:lnTo>
                                <a:pt x="0" y="503783"/>
                              </a:lnTo>
                              <a:lnTo>
                                <a:pt x="0" y="0"/>
                              </a:lnTo>
                              <a:close/>
                            </a:path>
                          </a:pathLst>
                        </a:custGeom>
                        <a:ln w="0" cap="flat">
                          <a:miter lim="127000"/>
                        </a:ln>
                      </wps:spPr>
                      <wps:style>
                        <a:lnRef idx="0">
                          <a:srgbClr val="000000">
                            <a:alpha val="0"/>
                          </a:srgbClr>
                        </a:lnRef>
                        <a:fillRef idx="1">
                          <a:srgbClr val="F3791F"/>
                        </a:fillRef>
                        <a:effectRef idx="0">
                          <a:scrgbClr r="0" g="0" b="0"/>
                        </a:effectRef>
                        <a:fontRef idx="none"/>
                      </wps:style>
                      <wps:bodyPr/>
                    </wps:wsp>
                    <wps:wsp>
                      <wps:cNvPr id="466" name="Shape 8"/>
                      <wps:cNvSpPr/>
                      <wps:spPr>
                        <a:xfrm>
                          <a:off x="599262" y="196516"/>
                          <a:ext cx="81409" cy="113891"/>
                        </a:xfrm>
                        <a:custGeom>
                          <a:avLst/>
                          <a:gdLst/>
                          <a:ahLst/>
                          <a:cxnLst/>
                          <a:rect l="0" t="0" r="0" b="0"/>
                          <a:pathLst>
                            <a:path w="81375" h="113678">
                              <a:moveTo>
                                <a:pt x="66853" y="0"/>
                              </a:moveTo>
                              <a:lnTo>
                                <a:pt x="81375" y="0"/>
                              </a:lnTo>
                              <a:lnTo>
                                <a:pt x="81375" y="32125"/>
                              </a:lnTo>
                              <a:lnTo>
                                <a:pt x="57226" y="73672"/>
                              </a:lnTo>
                              <a:lnTo>
                                <a:pt x="81375" y="73672"/>
                              </a:lnTo>
                              <a:lnTo>
                                <a:pt x="81375" y="99581"/>
                              </a:lnTo>
                              <a:lnTo>
                                <a:pt x="42355" y="99581"/>
                              </a:lnTo>
                              <a:lnTo>
                                <a:pt x="34125" y="113678"/>
                              </a:lnTo>
                              <a:lnTo>
                                <a:pt x="0" y="113678"/>
                              </a:lnTo>
                              <a:lnTo>
                                <a:pt x="6685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7" name="Shape 9"/>
                      <wps:cNvSpPr/>
                      <wps:spPr>
                        <a:xfrm>
                          <a:off x="1086852" y="196516"/>
                          <a:ext cx="81409" cy="113891"/>
                        </a:xfrm>
                        <a:custGeom>
                          <a:avLst/>
                          <a:gdLst/>
                          <a:ahLst/>
                          <a:cxnLst/>
                          <a:rect l="0" t="0" r="0" b="0"/>
                          <a:pathLst>
                            <a:path w="81375" h="113678">
                              <a:moveTo>
                                <a:pt x="66853" y="0"/>
                              </a:moveTo>
                              <a:lnTo>
                                <a:pt x="81375" y="0"/>
                              </a:lnTo>
                              <a:lnTo>
                                <a:pt x="81375" y="32125"/>
                              </a:lnTo>
                              <a:lnTo>
                                <a:pt x="57226" y="73672"/>
                              </a:lnTo>
                              <a:lnTo>
                                <a:pt x="81375" y="73672"/>
                              </a:lnTo>
                              <a:lnTo>
                                <a:pt x="81375" y="99581"/>
                              </a:lnTo>
                              <a:lnTo>
                                <a:pt x="42342" y="99581"/>
                              </a:lnTo>
                              <a:lnTo>
                                <a:pt x="34125" y="113678"/>
                              </a:lnTo>
                              <a:lnTo>
                                <a:pt x="0" y="113678"/>
                              </a:lnTo>
                              <a:lnTo>
                                <a:pt x="6685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8" name="Shape 10"/>
                      <wps:cNvSpPr/>
                      <wps:spPr>
                        <a:xfrm>
                          <a:off x="826168" y="196516"/>
                          <a:ext cx="236890" cy="113891"/>
                        </a:xfrm>
                        <a:custGeom>
                          <a:avLst/>
                          <a:gdLst/>
                          <a:ahLst/>
                          <a:cxnLst/>
                          <a:rect l="0" t="0" r="0" b="0"/>
                          <a:pathLst>
                            <a:path w="236792" h="113678">
                              <a:moveTo>
                                <a:pt x="0" y="0"/>
                              </a:moveTo>
                              <a:lnTo>
                                <a:pt x="82271" y="0"/>
                              </a:lnTo>
                              <a:lnTo>
                                <a:pt x="123558" y="63157"/>
                              </a:lnTo>
                              <a:lnTo>
                                <a:pt x="163297" y="0"/>
                              </a:lnTo>
                              <a:lnTo>
                                <a:pt x="236792" y="0"/>
                              </a:lnTo>
                              <a:lnTo>
                                <a:pt x="236792" y="113678"/>
                              </a:lnTo>
                              <a:lnTo>
                                <a:pt x="167145" y="113678"/>
                              </a:lnTo>
                              <a:lnTo>
                                <a:pt x="167145" y="48895"/>
                              </a:lnTo>
                              <a:lnTo>
                                <a:pt x="126886" y="113678"/>
                              </a:lnTo>
                              <a:lnTo>
                                <a:pt x="74917" y="113678"/>
                              </a:lnTo>
                              <a:lnTo>
                                <a:pt x="32906" y="50355"/>
                              </a:lnTo>
                              <a:lnTo>
                                <a:pt x="32906" y="113678"/>
                              </a:lnTo>
                              <a:lnTo>
                                <a:pt x="0" y="11367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9" name="Shape 11"/>
                      <wps:cNvSpPr/>
                      <wps:spPr>
                        <a:xfrm>
                          <a:off x="680095" y="196516"/>
                          <a:ext cx="124315" cy="113891"/>
                        </a:xfrm>
                        <a:custGeom>
                          <a:avLst/>
                          <a:gdLst/>
                          <a:ahLst/>
                          <a:cxnLst/>
                          <a:rect l="0" t="0" r="0" b="0"/>
                          <a:pathLst>
                            <a:path w="124263" h="113678">
                              <a:moveTo>
                                <a:pt x="0" y="0"/>
                              </a:moveTo>
                              <a:lnTo>
                                <a:pt x="62478" y="0"/>
                              </a:lnTo>
                              <a:lnTo>
                                <a:pt x="124263" y="113678"/>
                              </a:lnTo>
                              <a:lnTo>
                                <a:pt x="45510" y="113678"/>
                              </a:lnTo>
                              <a:lnTo>
                                <a:pt x="37814" y="99581"/>
                              </a:lnTo>
                              <a:lnTo>
                                <a:pt x="0" y="99581"/>
                              </a:lnTo>
                              <a:lnTo>
                                <a:pt x="0" y="73672"/>
                              </a:lnTo>
                              <a:lnTo>
                                <a:pt x="24149" y="73672"/>
                              </a:lnTo>
                              <a:lnTo>
                                <a:pt x="883" y="30607"/>
                              </a:lnTo>
                              <a:lnTo>
                                <a:pt x="0" y="32125"/>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5" name="Shape 12"/>
                      <wps:cNvSpPr/>
                      <wps:spPr>
                        <a:xfrm>
                          <a:off x="1521683" y="196516"/>
                          <a:ext cx="90347" cy="113891"/>
                        </a:xfrm>
                        <a:custGeom>
                          <a:avLst/>
                          <a:gdLst/>
                          <a:ahLst/>
                          <a:cxnLst/>
                          <a:rect l="0" t="0" r="0" b="0"/>
                          <a:pathLst>
                            <a:path w="90310" h="113678">
                              <a:moveTo>
                                <a:pt x="24155" y="0"/>
                              </a:moveTo>
                              <a:lnTo>
                                <a:pt x="90310" y="0"/>
                              </a:lnTo>
                              <a:lnTo>
                                <a:pt x="90310" y="26226"/>
                              </a:lnTo>
                              <a:lnTo>
                                <a:pt x="80683" y="26226"/>
                              </a:lnTo>
                              <a:cubicBezTo>
                                <a:pt x="77660" y="26226"/>
                                <a:pt x="75057" y="27229"/>
                                <a:pt x="72898" y="29222"/>
                              </a:cubicBezTo>
                              <a:cubicBezTo>
                                <a:pt x="70739" y="31229"/>
                                <a:pt x="69660" y="33630"/>
                                <a:pt x="69660" y="36437"/>
                              </a:cubicBezTo>
                              <a:lnTo>
                                <a:pt x="69660" y="76594"/>
                              </a:lnTo>
                              <a:cubicBezTo>
                                <a:pt x="69660" y="79401"/>
                                <a:pt x="70739" y="81800"/>
                                <a:pt x="72898" y="83794"/>
                              </a:cubicBezTo>
                              <a:cubicBezTo>
                                <a:pt x="75057" y="85801"/>
                                <a:pt x="77660" y="86792"/>
                                <a:pt x="80683" y="86792"/>
                              </a:cubicBezTo>
                              <a:lnTo>
                                <a:pt x="90310" y="86792"/>
                              </a:lnTo>
                              <a:lnTo>
                                <a:pt x="90310" y="113678"/>
                              </a:lnTo>
                              <a:lnTo>
                                <a:pt x="24155" y="113678"/>
                              </a:lnTo>
                              <a:cubicBezTo>
                                <a:pt x="20764" y="113678"/>
                                <a:pt x="17628" y="113081"/>
                                <a:pt x="14706" y="111899"/>
                              </a:cubicBezTo>
                              <a:cubicBezTo>
                                <a:pt x="11786" y="110706"/>
                                <a:pt x="9258" y="109118"/>
                                <a:pt x="7099" y="107111"/>
                              </a:cubicBezTo>
                              <a:cubicBezTo>
                                <a:pt x="4928" y="105118"/>
                                <a:pt x="3213" y="102768"/>
                                <a:pt x="1930" y="100063"/>
                              </a:cubicBezTo>
                              <a:cubicBezTo>
                                <a:pt x="648" y="97371"/>
                                <a:pt x="0" y="94462"/>
                                <a:pt x="0" y="91339"/>
                              </a:cubicBezTo>
                              <a:lnTo>
                                <a:pt x="0" y="22339"/>
                              </a:lnTo>
                              <a:cubicBezTo>
                                <a:pt x="0" y="19317"/>
                                <a:pt x="648" y="16434"/>
                                <a:pt x="1930" y="13677"/>
                              </a:cubicBezTo>
                              <a:cubicBezTo>
                                <a:pt x="3213" y="10922"/>
                                <a:pt x="4928" y="8560"/>
                                <a:pt x="7099" y="6553"/>
                              </a:cubicBezTo>
                              <a:cubicBezTo>
                                <a:pt x="9258" y="4559"/>
                                <a:pt x="11786" y="2972"/>
                                <a:pt x="14706" y="1778"/>
                              </a:cubicBezTo>
                              <a:cubicBezTo>
                                <a:pt x="17628" y="597"/>
                                <a:pt x="20764" y="0"/>
                                <a:pt x="24155"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6" name="Shape 13"/>
                      <wps:cNvSpPr/>
                      <wps:spPr>
                        <a:xfrm>
                          <a:off x="1315452" y="196516"/>
                          <a:ext cx="178420" cy="113891"/>
                        </a:xfrm>
                        <a:custGeom>
                          <a:avLst/>
                          <a:gdLst/>
                          <a:ahLst/>
                          <a:cxnLst/>
                          <a:rect l="0" t="0" r="0" b="0"/>
                          <a:pathLst>
                            <a:path w="178346" h="113678">
                              <a:moveTo>
                                <a:pt x="4026" y="0"/>
                              </a:moveTo>
                              <a:lnTo>
                                <a:pt x="176060" y="0"/>
                              </a:lnTo>
                              <a:lnTo>
                                <a:pt x="176060" y="27470"/>
                              </a:lnTo>
                              <a:lnTo>
                                <a:pt x="100292" y="86792"/>
                              </a:lnTo>
                              <a:lnTo>
                                <a:pt x="178346" y="86792"/>
                              </a:lnTo>
                              <a:lnTo>
                                <a:pt x="178346" y="113678"/>
                              </a:lnTo>
                              <a:lnTo>
                                <a:pt x="0" y="113678"/>
                              </a:lnTo>
                              <a:lnTo>
                                <a:pt x="0" y="86639"/>
                              </a:lnTo>
                              <a:lnTo>
                                <a:pt x="77191" y="26391"/>
                              </a:lnTo>
                              <a:lnTo>
                                <a:pt x="4026" y="26391"/>
                              </a:lnTo>
                              <a:lnTo>
                                <a:pt x="4026"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7" name="Shape 14"/>
                      <wps:cNvSpPr/>
                      <wps:spPr>
                        <a:xfrm>
                          <a:off x="1167063" y="196516"/>
                          <a:ext cx="124315" cy="113891"/>
                        </a:xfrm>
                        <a:custGeom>
                          <a:avLst/>
                          <a:gdLst/>
                          <a:ahLst/>
                          <a:cxnLst/>
                          <a:rect l="0" t="0" r="0" b="0"/>
                          <a:pathLst>
                            <a:path w="124263" h="113678">
                              <a:moveTo>
                                <a:pt x="0" y="0"/>
                              </a:moveTo>
                              <a:lnTo>
                                <a:pt x="62478" y="0"/>
                              </a:lnTo>
                              <a:lnTo>
                                <a:pt x="124263" y="113678"/>
                              </a:lnTo>
                              <a:lnTo>
                                <a:pt x="45510" y="113678"/>
                              </a:lnTo>
                              <a:lnTo>
                                <a:pt x="37814" y="99581"/>
                              </a:lnTo>
                              <a:lnTo>
                                <a:pt x="0" y="99581"/>
                              </a:lnTo>
                              <a:lnTo>
                                <a:pt x="0" y="73672"/>
                              </a:lnTo>
                              <a:lnTo>
                                <a:pt x="24149" y="73672"/>
                              </a:lnTo>
                              <a:lnTo>
                                <a:pt x="883" y="30607"/>
                              </a:lnTo>
                              <a:lnTo>
                                <a:pt x="0" y="32125"/>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8" name="Shape 15"/>
                      <wps:cNvSpPr/>
                      <wps:spPr>
                        <a:xfrm>
                          <a:off x="1981200" y="196516"/>
                          <a:ext cx="174901" cy="113891"/>
                        </a:xfrm>
                        <a:custGeom>
                          <a:avLst/>
                          <a:gdLst/>
                          <a:ahLst/>
                          <a:cxnLst/>
                          <a:rect l="0" t="0" r="0" b="0"/>
                          <a:pathLst>
                            <a:path w="174828" h="113678">
                              <a:moveTo>
                                <a:pt x="0" y="0"/>
                              </a:moveTo>
                              <a:lnTo>
                                <a:pt x="174828" y="0"/>
                              </a:lnTo>
                              <a:lnTo>
                                <a:pt x="174828" y="26226"/>
                              </a:lnTo>
                              <a:lnTo>
                                <a:pt x="70523" y="26226"/>
                              </a:lnTo>
                              <a:lnTo>
                                <a:pt x="70523" y="44044"/>
                              </a:lnTo>
                              <a:lnTo>
                                <a:pt x="174828" y="44044"/>
                              </a:lnTo>
                              <a:lnTo>
                                <a:pt x="174828" y="69621"/>
                              </a:lnTo>
                              <a:lnTo>
                                <a:pt x="70523" y="69621"/>
                              </a:lnTo>
                              <a:lnTo>
                                <a:pt x="70523" y="87770"/>
                              </a:lnTo>
                              <a:lnTo>
                                <a:pt x="174828" y="87770"/>
                              </a:lnTo>
                              <a:lnTo>
                                <a:pt x="174828" y="113678"/>
                              </a:lnTo>
                              <a:lnTo>
                                <a:pt x="0" y="11367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9" name="Shape 16"/>
                      <wps:cNvSpPr/>
                      <wps:spPr>
                        <a:xfrm>
                          <a:off x="1736558" y="196516"/>
                          <a:ext cx="216122" cy="115421"/>
                        </a:xfrm>
                        <a:custGeom>
                          <a:avLst/>
                          <a:gdLst/>
                          <a:ahLst/>
                          <a:cxnLst/>
                          <a:rect l="0" t="0" r="0" b="0"/>
                          <a:pathLst>
                            <a:path w="216840" h="113678">
                              <a:moveTo>
                                <a:pt x="0" y="0"/>
                              </a:moveTo>
                              <a:lnTo>
                                <a:pt x="59157" y="0"/>
                              </a:lnTo>
                              <a:lnTo>
                                <a:pt x="147358" y="55702"/>
                              </a:lnTo>
                              <a:lnTo>
                                <a:pt x="147358" y="0"/>
                              </a:lnTo>
                              <a:lnTo>
                                <a:pt x="216840" y="0"/>
                              </a:lnTo>
                              <a:lnTo>
                                <a:pt x="216840" y="113678"/>
                              </a:lnTo>
                              <a:lnTo>
                                <a:pt x="119189" y="113678"/>
                              </a:lnTo>
                              <a:lnTo>
                                <a:pt x="32728" y="58941"/>
                              </a:lnTo>
                              <a:lnTo>
                                <a:pt x="32728" y="113678"/>
                              </a:lnTo>
                              <a:lnTo>
                                <a:pt x="0" y="11367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00" name="Shape 17"/>
                      <wps:cNvSpPr/>
                      <wps:spPr>
                        <a:xfrm>
                          <a:off x="1610537" y="196516"/>
                          <a:ext cx="90347" cy="113891"/>
                        </a:xfrm>
                        <a:custGeom>
                          <a:avLst/>
                          <a:gdLst/>
                          <a:ahLst/>
                          <a:cxnLst/>
                          <a:rect l="0" t="0" r="0" b="0"/>
                          <a:pathLst>
                            <a:path w="90310" h="113678">
                              <a:moveTo>
                                <a:pt x="0" y="0"/>
                              </a:moveTo>
                              <a:lnTo>
                                <a:pt x="66154" y="0"/>
                              </a:lnTo>
                              <a:cubicBezTo>
                                <a:pt x="69431" y="0"/>
                                <a:pt x="72555" y="597"/>
                                <a:pt x="75527" y="1778"/>
                              </a:cubicBezTo>
                              <a:cubicBezTo>
                                <a:pt x="78486" y="2972"/>
                                <a:pt x="81051" y="4559"/>
                                <a:pt x="83210" y="6553"/>
                              </a:cubicBezTo>
                              <a:cubicBezTo>
                                <a:pt x="85369" y="8560"/>
                                <a:pt x="87097" y="10922"/>
                                <a:pt x="88379" y="13677"/>
                              </a:cubicBezTo>
                              <a:cubicBezTo>
                                <a:pt x="89662" y="16434"/>
                                <a:pt x="90310" y="19317"/>
                                <a:pt x="90310" y="22339"/>
                              </a:cubicBezTo>
                              <a:lnTo>
                                <a:pt x="90310" y="91339"/>
                              </a:lnTo>
                              <a:cubicBezTo>
                                <a:pt x="90310" y="94462"/>
                                <a:pt x="89662" y="97371"/>
                                <a:pt x="88379" y="100063"/>
                              </a:cubicBezTo>
                              <a:cubicBezTo>
                                <a:pt x="87097" y="102768"/>
                                <a:pt x="85369" y="105118"/>
                                <a:pt x="83210" y="107111"/>
                              </a:cubicBezTo>
                              <a:cubicBezTo>
                                <a:pt x="81051" y="109118"/>
                                <a:pt x="78486" y="110706"/>
                                <a:pt x="75527" y="111899"/>
                              </a:cubicBezTo>
                              <a:cubicBezTo>
                                <a:pt x="72555" y="113081"/>
                                <a:pt x="69431" y="113678"/>
                                <a:pt x="66154" y="113678"/>
                              </a:cubicBezTo>
                              <a:lnTo>
                                <a:pt x="0" y="113678"/>
                              </a:lnTo>
                              <a:lnTo>
                                <a:pt x="0" y="86792"/>
                              </a:lnTo>
                              <a:lnTo>
                                <a:pt x="9627" y="86792"/>
                              </a:lnTo>
                              <a:cubicBezTo>
                                <a:pt x="12662" y="86792"/>
                                <a:pt x="15265" y="85801"/>
                                <a:pt x="17425" y="83794"/>
                              </a:cubicBezTo>
                              <a:cubicBezTo>
                                <a:pt x="19571" y="81800"/>
                                <a:pt x="20650" y="79401"/>
                                <a:pt x="20650" y="76594"/>
                              </a:cubicBezTo>
                              <a:lnTo>
                                <a:pt x="20650" y="36437"/>
                              </a:lnTo>
                              <a:cubicBezTo>
                                <a:pt x="20650" y="33630"/>
                                <a:pt x="19571" y="31229"/>
                                <a:pt x="17425" y="29222"/>
                              </a:cubicBezTo>
                              <a:cubicBezTo>
                                <a:pt x="15265" y="27229"/>
                                <a:pt x="12662" y="26226"/>
                                <a:pt x="9627" y="26226"/>
                              </a:cubicBezTo>
                              <a:lnTo>
                                <a:pt x="0" y="2622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01" name="Shape 18"/>
                      <wps:cNvSpPr/>
                      <wps:spPr>
                        <a:xfrm>
                          <a:off x="260684" y="136358"/>
                          <a:ext cx="241502" cy="246013"/>
                        </a:xfrm>
                        <a:custGeom>
                          <a:avLst/>
                          <a:gdLst/>
                          <a:ahLst/>
                          <a:cxnLst/>
                          <a:rect l="0" t="0" r="0" b="0"/>
                          <a:pathLst>
                            <a:path w="241402" h="245554">
                              <a:moveTo>
                                <a:pt x="8941" y="0"/>
                              </a:moveTo>
                              <a:lnTo>
                                <a:pt x="232448" y="0"/>
                              </a:lnTo>
                              <a:cubicBezTo>
                                <a:pt x="237388" y="0"/>
                                <a:pt x="241402" y="4064"/>
                                <a:pt x="241402" y="9055"/>
                              </a:cubicBezTo>
                              <a:lnTo>
                                <a:pt x="241402" y="236499"/>
                              </a:lnTo>
                              <a:cubicBezTo>
                                <a:pt x="241402" y="241491"/>
                                <a:pt x="237388" y="245554"/>
                                <a:pt x="232448" y="245554"/>
                              </a:cubicBezTo>
                              <a:lnTo>
                                <a:pt x="8941" y="245554"/>
                              </a:lnTo>
                              <a:cubicBezTo>
                                <a:pt x="4013" y="245554"/>
                                <a:pt x="0" y="241491"/>
                                <a:pt x="0" y="236499"/>
                              </a:cubicBezTo>
                              <a:lnTo>
                                <a:pt x="0" y="9055"/>
                              </a:lnTo>
                              <a:cubicBezTo>
                                <a:pt x="0" y="4064"/>
                                <a:pt x="4013" y="0"/>
                                <a:pt x="8941" y="0"/>
                              </a:cubicBezTo>
                              <a:close/>
                            </a:path>
                          </a:pathLst>
                        </a:custGeom>
                        <a:ln w="6350" cap="flat">
                          <a:miter lim="100000"/>
                        </a:ln>
                      </wps:spPr>
                      <wps:style>
                        <a:lnRef idx="1">
                          <a:srgbClr val="FFFFFF"/>
                        </a:lnRef>
                        <a:fillRef idx="0">
                          <a:srgbClr val="000000">
                            <a:alpha val="0"/>
                          </a:srgbClr>
                        </a:fillRef>
                        <a:effectRef idx="0">
                          <a:scrgbClr r="0" g="0" b="0"/>
                        </a:effectRef>
                        <a:fontRef idx="none"/>
                      </wps:style>
                      <wps:bodyPr/>
                    </wps:wsp>
                    <wps:wsp>
                      <wps:cNvPr id="502" name="Shape 19"/>
                      <wps:cNvSpPr/>
                      <wps:spPr>
                        <a:xfrm>
                          <a:off x="278419" y="150082"/>
                          <a:ext cx="118877" cy="191123"/>
                        </a:xfrm>
                        <a:custGeom>
                          <a:avLst/>
                          <a:gdLst/>
                          <a:ahLst/>
                          <a:cxnLst/>
                          <a:rect l="0" t="0" r="0" b="0"/>
                          <a:pathLst>
                            <a:path w="118828" h="190767">
                              <a:moveTo>
                                <a:pt x="109753" y="0"/>
                              </a:moveTo>
                              <a:cubicBezTo>
                                <a:pt x="109753" y="0"/>
                                <a:pt x="112649" y="2692"/>
                                <a:pt x="116046" y="6510"/>
                              </a:cubicBezTo>
                              <a:lnTo>
                                <a:pt x="118828" y="10476"/>
                              </a:lnTo>
                              <a:lnTo>
                                <a:pt x="118828" y="17789"/>
                              </a:lnTo>
                              <a:lnTo>
                                <a:pt x="116103" y="13343"/>
                              </a:lnTo>
                              <a:cubicBezTo>
                                <a:pt x="114002" y="10522"/>
                                <a:pt x="112230" y="8484"/>
                                <a:pt x="112230" y="8484"/>
                              </a:cubicBezTo>
                              <a:lnTo>
                                <a:pt x="112230" y="37427"/>
                              </a:lnTo>
                              <a:lnTo>
                                <a:pt x="118828" y="37427"/>
                              </a:lnTo>
                              <a:lnTo>
                                <a:pt x="118828" y="42253"/>
                              </a:lnTo>
                              <a:lnTo>
                                <a:pt x="112230" y="42253"/>
                              </a:lnTo>
                              <a:lnTo>
                                <a:pt x="112230" y="70676"/>
                              </a:lnTo>
                              <a:lnTo>
                                <a:pt x="118828" y="60624"/>
                              </a:lnTo>
                              <a:lnTo>
                                <a:pt x="118828" y="68863"/>
                              </a:lnTo>
                              <a:lnTo>
                                <a:pt x="115367" y="73479"/>
                              </a:lnTo>
                              <a:cubicBezTo>
                                <a:pt x="112309" y="76810"/>
                                <a:pt x="109753" y="79172"/>
                                <a:pt x="109753" y="79172"/>
                              </a:cubicBezTo>
                              <a:lnTo>
                                <a:pt x="109753" y="42253"/>
                              </a:lnTo>
                              <a:lnTo>
                                <a:pt x="92837" y="42253"/>
                              </a:lnTo>
                              <a:lnTo>
                                <a:pt x="101079" y="51905"/>
                              </a:lnTo>
                              <a:lnTo>
                                <a:pt x="97371" y="55893"/>
                              </a:lnTo>
                              <a:lnTo>
                                <a:pt x="97371" y="79591"/>
                              </a:lnTo>
                              <a:lnTo>
                                <a:pt x="118828" y="79591"/>
                              </a:lnTo>
                              <a:lnTo>
                                <a:pt x="118828" y="138951"/>
                              </a:lnTo>
                              <a:lnTo>
                                <a:pt x="112027" y="138951"/>
                              </a:lnTo>
                              <a:lnTo>
                                <a:pt x="112027" y="133706"/>
                              </a:lnTo>
                              <a:lnTo>
                                <a:pt x="73241" y="133706"/>
                              </a:lnTo>
                              <a:lnTo>
                                <a:pt x="73241" y="159918"/>
                              </a:lnTo>
                              <a:lnTo>
                                <a:pt x="36093" y="159918"/>
                              </a:lnTo>
                              <a:lnTo>
                                <a:pt x="36093" y="190767"/>
                              </a:lnTo>
                              <a:lnTo>
                                <a:pt x="0" y="190767"/>
                              </a:lnTo>
                              <a:lnTo>
                                <a:pt x="0" y="173152"/>
                              </a:lnTo>
                              <a:lnTo>
                                <a:pt x="14643" y="173152"/>
                              </a:lnTo>
                              <a:lnTo>
                                <a:pt x="14643" y="135598"/>
                              </a:lnTo>
                              <a:lnTo>
                                <a:pt x="44348" y="135598"/>
                              </a:lnTo>
                              <a:lnTo>
                                <a:pt x="44348" y="94704"/>
                              </a:lnTo>
                              <a:lnTo>
                                <a:pt x="36093" y="94704"/>
                              </a:lnTo>
                              <a:lnTo>
                                <a:pt x="36093" y="129515"/>
                              </a:lnTo>
                              <a:lnTo>
                                <a:pt x="14643" y="129515"/>
                              </a:lnTo>
                              <a:lnTo>
                                <a:pt x="14643" y="85687"/>
                              </a:lnTo>
                              <a:lnTo>
                                <a:pt x="80874" y="85687"/>
                              </a:lnTo>
                              <a:lnTo>
                                <a:pt x="80874" y="42253"/>
                              </a:lnTo>
                              <a:lnTo>
                                <a:pt x="63754" y="42253"/>
                              </a:lnTo>
                              <a:lnTo>
                                <a:pt x="63754" y="37427"/>
                              </a:lnTo>
                              <a:lnTo>
                                <a:pt x="80874" y="37427"/>
                              </a:lnTo>
                              <a:lnTo>
                                <a:pt x="80874" y="33871"/>
                              </a:lnTo>
                              <a:lnTo>
                                <a:pt x="76124" y="33871"/>
                              </a:lnTo>
                              <a:lnTo>
                                <a:pt x="76124" y="20853"/>
                              </a:lnTo>
                              <a:lnTo>
                                <a:pt x="81496" y="15621"/>
                              </a:lnTo>
                              <a:lnTo>
                                <a:pt x="93650" y="15621"/>
                              </a:lnTo>
                              <a:lnTo>
                                <a:pt x="96952" y="19190"/>
                              </a:lnTo>
                              <a:lnTo>
                                <a:pt x="96952" y="30518"/>
                              </a:lnTo>
                              <a:lnTo>
                                <a:pt x="93650" y="33871"/>
                              </a:lnTo>
                              <a:lnTo>
                                <a:pt x="90373" y="33871"/>
                              </a:lnTo>
                              <a:lnTo>
                                <a:pt x="90373" y="37427"/>
                              </a:lnTo>
                              <a:lnTo>
                                <a:pt x="109753" y="37427"/>
                              </a:lnTo>
                              <a:lnTo>
                                <a:pt x="109753"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503" name="Shape 20"/>
                      <wps:cNvSpPr/>
                      <wps:spPr>
                        <a:xfrm>
                          <a:off x="397042" y="184484"/>
                          <a:ext cx="78423" cy="152787"/>
                        </a:xfrm>
                        <a:custGeom>
                          <a:avLst/>
                          <a:gdLst/>
                          <a:ahLst/>
                          <a:cxnLst/>
                          <a:rect l="0" t="0" r="0" b="0"/>
                          <a:pathLst>
                            <a:path w="78391" h="152502">
                              <a:moveTo>
                                <a:pt x="19806" y="0"/>
                              </a:moveTo>
                              <a:lnTo>
                                <a:pt x="71584" y="0"/>
                              </a:lnTo>
                              <a:lnTo>
                                <a:pt x="71584" y="26429"/>
                              </a:lnTo>
                              <a:lnTo>
                                <a:pt x="49930" y="26429"/>
                              </a:lnTo>
                              <a:lnTo>
                                <a:pt x="49930" y="78029"/>
                              </a:lnTo>
                              <a:lnTo>
                                <a:pt x="78391" y="78029"/>
                              </a:lnTo>
                              <a:lnTo>
                                <a:pt x="78391" y="152502"/>
                              </a:lnTo>
                              <a:lnTo>
                                <a:pt x="46425" y="152502"/>
                              </a:lnTo>
                              <a:lnTo>
                                <a:pt x="46425" y="135915"/>
                              </a:lnTo>
                              <a:lnTo>
                                <a:pt x="61271" y="135915"/>
                              </a:lnTo>
                              <a:lnTo>
                                <a:pt x="61271" y="105080"/>
                              </a:lnTo>
                              <a:lnTo>
                                <a:pt x="24136" y="105080"/>
                              </a:lnTo>
                              <a:lnTo>
                                <a:pt x="24136" y="99835"/>
                              </a:lnTo>
                              <a:lnTo>
                                <a:pt x="7626" y="99835"/>
                              </a:lnTo>
                              <a:lnTo>
                                <a:pt x="11144" y="105080"/>
                              </a:lnTo>
                              <a:lnTo>
                                <a:pt x="0" y="105080"/>
                              </a:lnTo>
                              <a:lnTo>
                                <a:pt x="0" y="45720"/>
                              </a:lnTo>
                              <a:lnTo>
                                <a:pt x="3308" y="45720"/>
                              </a:lnTo>
                              <a:lnTo>
                                <a:pt x="3308" y="51816"/>
                              </a:lnTo>
                              <a:lnTo>
                                <a:pt x="19806" y="51816"/>
                              </a:lnTo>
                              <a:lnTo>
                                <a:pt x="19806" y="3556"/>
                              </a:lnTo>
                              <a:lnTo>
                                <a:pt x="19806"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504" name="Shape 21"/>
                      <wps:cNvSpPr/>
                      <wps:spPr>
                        <a:xfrm>
                          <a:off x="397042" y="160421"/>
                          <a:ext cx="19814" cy="58496"/>
                        </a:xfrm>
                        <a:custGeom>
                          <a:avLst/>
                          <a:gdLst/>
                          <a:ahLst/>
                          <a:cxnLst/>
                          <a:rect l="0" t="0" r="0" b="0"/>
                          <a:pathLst>
                            <a:path w="19806" h="58387">
                              <a:moveTo>
                                <a:pt x="0" y="0"/>
                              </a:moveTo>
                              <a:lnTo>
                                <a:pt x="6521" y="9298"/>
                              </a:lnTo>
                              <a:cubicBezTo>
                                <a:pt x="9417" y="15775"/>
                                <a:pt x="10433" y="19877"/>
                                <a:pt x="10928" y="26951"/>
                              </a:cubicBezTo>
                              <a:lnTo>
                                <a:pt x="19806" y="26951"/>
                              </a:lnTo>
                              <a:lnTo>
                                <a:pt x="12173" y="31777"/>
                              </a:lnTo>
                              <a:lnTo>
                                <a:pt x="10928" y="31777"/>
                              </a:lnTo>
                              <a:cubicBezTo>
                                <a:pt x="10204" y="39765"/>
                                <a:pt x="8833" y="44401"/>
                                <a:pt x="5163" y="51500"/>
                              </a:cubicBezTo>
                              <a:lnTo>
                                <a:pt x="0" y="58387"/>
                              </a:lnTo>
                              <a:lnTo>
                                <a:pt x="0" y="50148"/>
                              </a:lnTo>
                              <a:lnTo>
                                <a:pt x="3105" y="45417"/>
                              </a:lnTo>
                              <a:cubicBezTo>
                                <a:pt x="5201" y="40362"/>
                                <a:pt x="6013" y="37238"/>
                                <a:pt x="6598" y="31777"/>
                              </a:cubicBezTo>
                              <a:lnTo>
                                <a:pt x="0" y="31777"/>
                              </a:lnTo>
                              <a:lnTo>
                                <a:pt x="0" y="26951"/>
                              </a:lnTo>
                              <a:lnTo>
                                <a:pt x="6598" y="26951"/>
                              </a:lnTo>
                              <a:cubicBezTo>
                                <a:pt x="6204" y="21134"/>
                                <a:pt x="5391" y="17782"/>
                                <a:pt x="3131" y="12422"/>
                              </a:cubicBezTo>
                              <a:lnTo>
                                <a:pt x="0" y="7313"/>
                              </a:lnTo>
                              <a:lnTo>
                                <a:pt x="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505" name="Rectangle 27"/>
                      <wps:cNvSpPr/>
                      <wps:spPr>
                        <a:xfrm>
                          <a:off x="4322580" y="2491"/>
                          <a:ext cx="2772410" cy="359410"/>
                        </a:xfrm>
                        <a:prstGeom prst="rect">
                          <a:avLst/>
                        </a:prstGeom>
                        <a:ln>
                          <a:noFill/>
                        </a:ln>
                      </wps:spPr>
                      <wps:txbx>
                        <w:txbxContent>
                          <w:p w:rsidR="00E70773" w:rsidRPr="008404AE" w:rsidRDefault="00120387" w:rsidP="00861167">
                            <w:pPr>
                              <w:pStyle w:val="AmazoneKopfzeile"/>
                              <w:spacing w:line="240" w:lineRule="auto"/>
                              <w:rPr>
                                <w:b/>
                              </w:rPr>
                            </w:pPr>
                            <w:r>
                              <w:rPr>
                                <w:b/>
                              </w:rPr>
                              <w:t>Press</w:t>
                            </w:r>
                            <w:r w:rsidR="00E70773">
                              <w:rPr>
                                <w:b/>
                              </w:rPr>
                              <w:t xml:space="preserve"> Information</w:t>
                            </w:r>
                          </w:p>
                        </w:txbxContent>
                      </wps:txbx>
                      <wps:bodyPr horzOverflow="overflow" vert="horz" lIns="0" tIns="0" rIns="0" bIns="0" rtlCol="0" anchor="ctr">
                        <a:noAutofit/>
                      </wps:bodyPr>
                    </wps:wsp>
                    <wps:wsp>
                      <wps:cNvPr id="506" name="Shape 22"/>
                      <wps:cNvSpPr/>
                      <wps:spPr>
                        <a:xfrm>
                          <a:off x="8021" y="398383"/>
                          <a:ext cx="7200272" cy="690973"/>
                        </a:xfrm>
                        <a:custGeom>
                          <a:avLst/>
                          <a:gdLst/>
                          <a:ahLst/>
                          <a:cxnLst/>
                          <a:rect l="0" t="0" r="0" b="0"/>
                          <a:pathLst>
                            <a:path w="7190562" h="680961">
                              <a:moveTo>
                                <a:pt x="0" y="144361"/>
                              </a:moveTo>
                              <a:lnTo>
                                <a:pt x="0" y="680961"/>
                              </a:lnTo>
                              <a:lnTo>
                                <a:pt x="7190562" y="680961"/>
                              </a:lnTo>
                              <a:lnTo>
                                <a:pt x="7190562" y="0"/>
                              </a:lnTo>
                            </a:path>
                          </a:pathLst>
                        </a:custGeom>
                        <a:ln w="6350" cap="flat">
                          <a:solidFill>
                            <a:srgbClr val="DCDEDD"/>
                          </a:solidFill>
                          <a:miter lim="100000"/>
                        </a:ln>
                      </wps:spPr>
                      <wps:style>
                        <a:lnRef idx="1">
                          <a:srgbClr val="DCDEDD"/>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3C398969" id="Kopfzeile inkl. Logo" o:spid="_x0000_s1026" style="position:absolute;left:0;text-align:left;margin-left:13.5pt;margin-top:14.1pt;width:567.2pt;height:85.6pt;z-index:251729920;mso-position-horizontal-relative:page;mso-position-vertical-relative:page;mso-width-relative:margin;mso-height-relative:margin" coordorigin="45,24" coordsize="72073,10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">
              <v:shape id="Shape 412" o:spid="_x0000_s1027" style="position:absolute;left:80;top:40;width:72038;height:3602;visibility:visible;mso-wrap-style:square;v-text-anchor:top" coordsize="7196912,359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9G78QA&#10;AADcAAAADwAAAGRycy9kb3ducmV2LnhtbESPS2/CMBCE70j9D9ZW4gYOiEeVYhBvwQlK2/sqXpJA&#10;vI5iA+HfYyQkjqOZ+UYzmtSmEFeqXG5ZQacdgSBOrM45VfD3u2p9gXAeWWNhmRTcycFk/NEYYazt&#10;jX/oevCpCBB2MSrIvC9jKV2SkUHXtiVx8I62MuiDrFKpK7wFuClkN4oG0mDOYSHDkuYZJefDxShY&#10;X07H/XA53Fqclf3d/r/gxayjVPOznn6D8FT7d/jV3mgFvUEPnmfCEZ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fRu/EAAAA3AAAAA8AAAAAAAAAAAAAAAAAmAIAAGRycy9k&#10;b3ducmV2LnhtbFBLBQYAAAAABAAEAPUAAACJAwAAAAA=&#10;" path="m,l7196912,r,359842l,359842,,e" fillcolor="#dcdedd" stroked="f" strokeweight="0">
                <v:stroke miterlimit="83231f" joinstyle="miter"/>
                <v:path arrowok="t" textboxrect="0,0,7196912,359842"/>
              </v:shape>
              <v:shape id="Shape 7" o:spid="_x0000_s1028" style="position:absolute;left:45;top:40;width:27361;height:5043;visibility:visible;mso-wrap-style:square;v-text-anchor:top" coordsize="2736914,5037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vJwMUA&#10;AADcAAAADwAAAGRycy9kb3ducmV2LnhtbESPQWsCMRSE74L/ITyht5q1tSKrUaSlVRCxXcXzY/Pc&#10;Xd28bJNUt/++KQgeh5n5hpnOW1OLCzlfWVYw6CcgiHOrKy4U7Hfvj2MQPiBrrC2Tgl/yMJ91O1NM&#10;tb3yF12yUIgIYZ+igjKEJpXS5yUZ9H3bEEfvaJ3BEKUrpHZ4jXBTy6ckGUmDFceFEht6LSk/Zz9G&#10;gdvsaPn9fPqshx9v5uDCcb3Otko99NrFBESgNtzDt/ZKKxiOXuD/TDwC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28nAxQAAANwAAAAPAAAAAAAAAAAAAAAAAJgCAABkcnMv&#10;ZG93bnJldi54bWxQSwUGAAAAAAQABAD1AAAAigMAAAAA&#10;" path="m,l2736914,,2448789,503783,,503783,,xe" fillcolor="#f3791f" stroked="f" strokeweight="0">
                <v:stroke miterlimit="83231f" joinstyle="miter"/>
                <v:path arrowok="t" textboxrect="0,0,2736914,503783"/>
              </v:shape>
              <v:shape id="Shape 8" o:spid="_x0000_s1029" style="position:absolute;left:5992;top:1965;width:814;height:1139;visibility:visible;mso-wrap-style:square;v-text-anchor:top" coordsize="81375,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qatsMA&#10;AADcAAAADwAAAGRycy9kb3ducmV2LnhtbESP3YrCMBSE7xd8h3AEbxZNLW7RahRRXPbWnwc4NMem&#10;2JzUJmr16TfCwl4OM/MNs1h1thZ3an3lWMF4lIAgLpyuuFRwOu6GUxA+IGusHZOCJ3lYLXsfC8y1&#10;e/Ce7odQighhn6MCE0KTS+kLQxb9yDXE0Tu71mKIsi2lbvER4baWaZJk0mLFccFgQxtDxeVwswq2&#10;N5OOu085O8nz1+s7vRqq/F6pQb9bz0EE6sJ/+K/9oxVMsgze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qatsMAAADcAAAADwAAAAAAAAAAAAAAAACYAgAAZHJzL2Rv&#10;d25yZXYueG1sUEsFBgAAAAAEAAQA9QAAAIgDAAAAAA==&#10;" path="m66853,l81375,r,32125l57226,73672r24149,l81375,99581r-39020,l34125,113678,,113678,66853,xe" stroked="f" strokeweight="0">
                <v:stroke miterlimit="83231f" joinstyle="miter"/>
                <v:path arrowok="t" textboxrect="0,0,81375,113678"/>
              </v:shape>
              <v:shape id="Shape 9" o:spid="_x0000_s1030" style="position:absolute;left:10868;top:1965;width:814;height:1139;visibility:visible;mso-wrap-style:square;v-text-anchor:top" coordsize="81375,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Y/LcMA&#10;AADcAAAADwAAAGRycy9kb3ducmV2LnhtbESP3YrCMBSE7xd8h3AEbxZNLa4/1SjLirK3/jzAoTk2&#10;xeakNlGrT28WFrwcZuYbZrFqbSVu1PjSsYLhIAFBnDtdcqHgeNj0pyB8QNZYOSYFD/KwWnY+Fphp&#10;d+cd3fahEBHCPkMFJoQ6k9Lnhiz6gauJo3dyjcUQZVNI3eA9wm0l0yQZS4slxwWDNf0Yys/7q1Ww&#10;vpp02H7K2VGevp7b9GKo9Dulet32ew4iUBve4f/2r1YwGk/g70w8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Y/LcMAAADcAAAADwAAAAAAAAAAAAAAAACYAgAAZHJzL2Rv&#10;d25yZXYueG1sUEsFBgAAAAAEAAQA9QAAAIgDAAAAAA==&#10;" path="m66853,l81375,r,32125l57226,73672r24149,l81375,99581r-39033,l34125,113678,,113678,66853,xe" stroked="f" strokeweight="0">
                <v:stroke miterlimit="83231f" joinstyle="miter"/>
                <v:path arrowok="t" textboxrect="0,0,81375,113678"/>
              </v:shape>
              <v:shape id="Shape 10" o:spid="_x0000_s1031" style="position:absolute;left:8261;top:1965;width:2369;height:1139;visibility:visible;mso-wrap-style:square;v-text-anchor:top" coordsize="236792,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kLLL4A&#10;AADcAAAADwAAAGRycy9kb3ducmV2LnhtbERPuwrCMBTdBf8hXMFNU0VEqlGKKLg4+Bh0uzbXttjc&#10;lCbV6tebQXA8nPdi1ZpSPKl2hWUFo2EEgji1uuBMwfm0HcxAOI+ssbRMCt7kYLXsdhYYa/viAz2P&#10;PhMhhF2MCnLvq1hKl+Zk0A1tRRy4u60N+gDrTOoaXyHclHIcRVNpsODQkGNF65zSx7ExCj77TfLR&#10;Dd39zZSX4nYdNY9kq1S/1yZzEJ5a/xf/3DutYDINa8OZcATk8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O5Cyy+AAAA3AAAAA8AAAAAAAAAAAAAAAAAmAIAAGRycy9kb3ducmV2&#10;LnhtbFBLBQYAAAAABAAEAPUAAACDAwAAAAA=&#10;" path="m,l82271,r41287,63157l163297,r73495,l236792,113678r-69647,l167145,48895r-40259,64783l74917,113678,32906,50355r,63323l,113678,,xe" stroked="f" strokeweight="0">
                <v:stroke miterlimit="83231f" joinstyle="miter"/>
                <v:path arrowok="t" textboxrect="0,0,236792,113678"/>
              </v:shape>
              <v:shape id="Shape 11" o:spid="_x0000_s1032" style="position:absolute;left:6800;top:1965;width:1244;height:1139;visibility:visible;mso-wrap-style:square;v-text-anchor:top" coordsize="124263,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8gZ8cA&#10;AADcAAAADwAAAGRycy9kb3ducmV2LnhtbESPT2vCQBTE74LfYXmCF9GNVmxNXaX0D4gnG6W0t0f2&#10;NQlm34bdjcZv3xUKHoeZ+Q2z2nSmFmdyvrKsYDpJQBDnVldcKDgePsZPIHxA1lhbJgVX8rBZ93sr&#10;TLW98Ceds1CICGGfooIyhCaV0uclGfQT2xBH79c6gyFKV0jt8BLhppazJFlIgxXHhRIbei0pP2Wt&#10;UXDYvWU/xfz9a7Rftq7dfj+0jxUrNRx0L88gAnXhHv5vb7WC+WIJtzPx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IGfHAAAA3AAAAA8AAAAAAAAAAAAAAAAAmAIAAGRy&#10;cy9kb3ducmV2LnhtbFBLBQYAAAAABAAEAPUAAACMAwAAAAA=&#10;" path="m,l62478,r61785,113678l45510,113678,37814,99581,,99581,,73672r24149,l883,30607,,32125,,xe" stroked="f" strokeweight="0">
                <v:stroke miterlimit="83231f" joinstyle="miter"/>
                <v:path arrowok="t" textboxrect="0,0,124263,113678"/>
              </v:shape>
              <v:shape id="Shape 12" o:spid="_x0000_s1033" style="position:absolute;left:15216;top:1965;width:904;height:1139;visibility:visible;mso-wrap-style:square;v-text-anchor:top" coordsize="90310,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JE8MA&#10;AADcAAAADwAAAGRycy9kb3ducmV2LnhtbESPT4vCMBTE7wt+h/AEb5oquu5Wo0hV9Cb+Yff6aJ5t&#10;sXmpTdT67c2CsMdhZn7DTOeNKcWdaldYVtDvRSCIU6sLzhScjuvuFwjnkTWWlknBkxzMZ62PKcba&#10;PnhP94PPRICwi1FB7n0VS+nSnAy6nq2Ig3e2tUEfZJ1JXeMjwE0pB1H0KQ0WHBZyrCjJKb0cbkbB&#10;kqto9LuTq1NCm+R8bcw4tT9KddrNYgLCU+P/w+/2VisYfo/g70w4An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JE8MAAADcAAAADwAAAAAAAAAAAAAAAACYAgAAZHJzL2Rv&#10;d25yZXYueG1sUEsFBgAAAAAEAAQA9QAAAIgDAAAAAA==&#10;" path="m24155,l90310,r,26226l80683,26226v-3023,,-5626,1003,-7785,2996c70739,31229,69660,33630,69660,36437r,40157c69660,79401,70739,81800,72898,83794v2159,2007,4762,2998,7785,2998l90310,86792r,26886l24155,113678v-3391,,-6527,-597,-9449,-1779c11786,110706,9258,109118,7099,107111,4928,105118,3213,102768,1930,100063,648,97371,,94462,,91339l,22339c,19317,648,16434,1930,13677,3213,10922,4928,8560,7099,6553,9258,4559,11786,2972,14706,1778,17628,597,20764,,24155,xe" stroked="f" strokeweight="0">
                <v:stroke miterlimit="83231f" joinstyle="miter"/>
                <v:path arrowok="t" textboxrect="0,0,90310,113678"/>
              </v:shape>
              <v:shape id="Shape 13" o:spid="_x0000_s1034" style="position:absolute;left:13154;top:1965;width:1784;height:1139;visibility:visible;mso-wrap-style:square;v-text-anchor:top" coordsize="178346,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qtZ8YA&#10;AADcAAAADwAAAGRycy9kb3ducmV2LnhtbESPQWsCMRSE74X+h/AKvUhN1CLt1igiCC0epFsp9Pbc&#10;PHcXNy9LkrrrvzeC4HGYmW+Y2aK3jTiRD7VjDaOhAkFcOFNzqWH3s355AxEissHGMWk4U4DF/PFh&#10;hplxHX/TKY+lSBAOGWqoYmwzKUNRkcUwdC1x8g7OW4xJ+lIaj12C20aOlZpKizWnhQpbWlVUHPN/&#10;q0HtB+3Aqf1XN9kefv/WG787mo3Wz0/98gNEpD7ew7f2p9Hw+j6F65l0BOT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qtZ8YAAADcAAAADwAAAAAAAAAAAAAAAACYAgAAZHJz&#10;L2Rvd25yZXYueG1sUEsFBgAAAAAEAAQA9QAAAIsDAAAAAA==&#10;" path="m4026,l176060,r,27470l100292,86792r78054,l178346,113678,,113678,,86639,77191,26391r-73165,l4026,xe" stroked="f" strokeweight="0">
                <v:stroke miterlimit="83231f" joinstyle="miter"/>
                <v:path arrowok="t" textboxrect="0,0,178346,113678"/>
              </v:shape>
              <v:shape id="Shape 14" o:spid="_x0000_s1035" style="position:absolute;left:11670;top:1965;width:1243;height:1139;visibility:visible;mso-wrap-style:square;v-text-anchor:top" coordsize="124263,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lhqccA&#10;AADcAAAADwAAAGRycy9kb3ducmV2LnhtbESPT2vCQBTE74LfYXkFL6Vu2op/oquUWkE82Sil3h7Z&#10;1ySYfRt2Nxq/fbdQ8DjMzG+YxaoztbiQ85VlBc/DBARxbnXFhYLjYfM0BeEDssbaMim4kYfVst9b&#10;YKrtlT/pkoVCRAj7FBWUITSplD4vyaAf2oY4ej/WGQxRukJqh9cIN7V8SZKxNFhxXCixofeS8nPW&#10;GgWH3To7FaOPr8f9rHXt9vu1nVSs1OChe5uDCNSFe/i/vdUKRrMJ/J2JR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JYanHAAAA3AAAAA8AAAAAAAAAAAAAAAAAmAIAAGRy&#10;cy9kb3ducmV2LnhtbFBLBQYAAAAABAAEAPUAAACMAwAAAAA=&#10;" path="m,l62478,r61785,113678l45510,113678,37814,99581,,99581,,73672r24149,l883,30607,,32125,,xe" stroked="f" strokeweight="0">
                <v:stroke miterlimit="83231f" joinstyle="miter"/>
                <v:path arrowok="t" textboxrect="0,0,124263,113678"/>
              </v:shape>
              <v:shape id="Shape 15" o:spid="_x0000_s1036" style="position:absolute;left:19812;top:1965;width:1749;height:1139;visibility:visible;mso-wrap-style:square;v-text-anchor:top" coordsize="174828,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2Y1cEA&#10;AADcAAAADwAAAGRycy9kb3ducmV2LnhtbERPS2vCQBC+F/oflin0VjeVYjVmI21EqhfBx8HjkB2T&#10;0OxsyI4a/333IPT48b2zxeBadaU+NJ4NvI8SUMSltw1XBo6H1dsUVBBki61nMnCnAIv8+SnD1Pob&#10;7+i6l0rFEA4pGqhFulTrUNbkMIx8Rxy5s+8dSoR9pW2PtxjuWj1Okol22HBsqLGjoqbyd39xBiaV&#10;/Z6eNgW3P4TL7aaTS/Epxry+DF9zUEKD/Isf7rU18DGLa+OZeAR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dmNXBAAAA3AAAAA8AAAAAAAAAAAAAAAAAmAIAAGRycy9kb3du&#10;cmV2LnhtbFBLBQYAAAAABAAEAPUAAACGAwAAAAA=&#10;" path="m,l174828,r,26226l70523,26226r,17818l174828,44044r,25577l70523,69621r,18149l174828,87770r,25908l,113678,,xe" stroked="f" strokeweight="0">
                <v:stroke miterlimit="83231f" joinstyle="miter"/>
                <v:path arrowok="t" textboxrect="0,0,174828,113678"/>
              </v:shape>
              <v:shape id="Shape 16" o:spid="_x0000_s1037" style="position:absolute;left:17365;top:1965;width:2161;height:1154;visibility:visible;mso-wrap-style:square;v-text-anchor:top" coordsize="216840,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vKqMUA&#10;AADcAAAADwAAAGRycy9kb3ducmV2LnhtbESPQWvCQBSE7wX/w/IEb3WjSNHUVVQIiPVgTS+9PbLP&#10;JJh9G7Ib3fbXu4WCx2FmvmGW62AacaPO1ZYVTMYJCOLC6ppLBV959joH4TyyxsYyKfghB+vV4GWJ&#10;qbZ3/qTb2ZciQtilqKDyvk2ldEVFBt3YtsTRu9jOoI+yK6Xu8B7hppHTJHmTBmuOCxW2tKuouJ57&#10;o+CQX4+9N2g+9pSfsu9D+C3dVqnRMGzeQXgK/hn+b++1gtliAX9n4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y8qoxQAAANwAAAAPAAAAAAAAAAAAAAAAAJgCAABkcnMv&#10;ZG93bnJldi54bWxQSwUGAAAAAAQABAD1AAAAigMAAAAA&#10;" path="m,l59157,r88201,55702l147358,r69482,l216840,113678r-97651,l32728,58941r,54737l,113678,,xe" stroked="f" strokeweight="0">
                <v:stroke miterlimit="83231f" joinstyle="miter"/>
                <v:path arrowok="t" textboxrect="0,0,216840,113678"/>
              </v:shape>
              <v:shape id="Shape 17" o:spid="_x0000_s1038" style="position:absolute;left:16105;top:1965;width:903;height:1139;visibility:visible;mso-wrap-style:square;v-text-anchor:top" coordsize="90310,113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2wkb8A&#10;AADcAAAADwAAAGRycy9kb3ducmV2LnhtbERPTYvCMBC9L/gfwgje1sQFXalGka6iN1kVvQ7N2Bab&#10;SW2i1n9vDoLHx/uezltbiTs1vnSsYdBXIIgzZ0rONRz2q+8xCB+QDVaOScOTPMxnna8pJsY9+J/u&#10;u5CLGMI+QQ1FCHUipc8Ksuj7riaO3Nk1FkOETS5Ng48Ybiv5o9RIWiw5NhRYU1pQdtndrIY/rtXw&#10;tJXLQ0rr9Hxt7W/mjlr3uu1iAiJQGz7it3tjNAxVnB/PxCMgZ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rbCRvwAAANwAAAAPAAAAAAAAAAAAAAAAAJgCAABkcnMvZG93bnJl&#10;di54bWxQSwUGAAAAAAQABAD1AAAAhAMAAAAA&#10;" path="m,l66154,v3277,,6401,597,9373,1778c78486,2972,81051,4559,83210,6553v2159,2007,3887,4369,5169,7124c89662,16434,90310,19317,90310,22339r,69000c90310,94462,89662,97371,88379,100063v-1282,2705,-3010,5055,-5169,7048c81051,109118,78486,110706,75527,111899v-2972,1182,-6096,1779,-9373,1779l,113678,,86792r9627,c12662,86792,15265,85801,17425,83794v2146,-1994,3225,-4393,3225,-7200l20650,36437v,-2807,-1079,-5208,-3225,-7215c15265,27229,12662,26226,9627,26226l,26226,,xe" stroked="f" strokeweight="0">
                <v:stroke miterlimit="83231f" joinstyle="miter"/>
                <v:path arrowok="t" textboxrect="0,0,90310,113678"/>
              </v:shape>
              <v:shape id="Shape 18" o:spid="_x0000_s1039" style="position:absolute;left:2606;top:1363;width:2415;height:2460;visibility:visible;mso-wrap-style:square;v-text-anchor:top" coordsize="241402,245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ZRHMQA&#10;AADcAAAADwAAAGRycy9kb3ducmV2LnhtbESPT2sCMRTE7wW/Q3gFL0UTBYtsjVJE8c+ttgePj83r&#10;ZnHzsruJun57Iwgeh5n5DTNbdK4SF2pD6VnDaKhAEOfelFxo+PtdD6YgQkQ2WHkmDTcKsJj33maY&#10;GX/lH7ocYiEShEOGGmyMdSZlyC05DENfEyfv37cOY5JtIU2L1wR3lRwr9SkdlpwWLNa0tJSfDmen&#10;ocHjyky3O7tpTrdzofYmbz6M1v337vsLRKQuvsLP9tZomKgRPM6k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2URzEAAAA3AAAAA8AAAAAAAAAAAAAAAAAmAIAAGRycy9k&#10;b3ducmV2LnhtbFBLBQYAAAAABAAEAPUAAACJAwAAAAA=&#10;" path="m8941,l232448,v4940,,8954,4064,8954,9055l241402,236499v,4992,-4014,9055,-8954,9055l8941,245554c4013,245554,,241491,,236499l,9055c,4064,4013,,8941,xe" filled="f" strokecolor="white" strokeweight=".5pt">
                <v:stroke miterlimit="1" joinstyle="miter"/>
                <v:path arrowok="t" textboxrect="0,0,241402,245554"/>
              </v:shape>
              <v:shape id="Shape 19" o:spid="_x0000_s1040" style="position:absolute;left:2784;top:1500;width:1188;height:1912;visibility:visible;mso-wrap-style:square;v-text-anchor:top" coordsize="118828,190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T3RsIA&#10;AADcAAAADwAAAGRycy9kb3ducmV2LnhtbESPQWsCMRSE70L/Q3gFL1KTlVbKdqMUQfDQS1U8Pzav&#10;yeLmJWzSdf33TaHQ4zAz3zDNdvK9GGlIXWAN1VKBIG6D6dhqOJ/2T68gUkY22AcmDXdKsN08zBqs&#10;TbjxJ43HbEWBcKpRg8s51lKm1pHHtAyRuHhfYfCYixysNAPeCtz3cqXUWnrsuCw4jLRz1F6P314D&#10;97b6MHkRL3H/7OhqVXXyZ63nj9P7G4hMU/4P/7UPRsOLWsHvmXIE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PdGwgAAANwAAAAPAAAAAAAAAAAAAAAAAJgCAABkcnMvZG93&#10;bnJldi54bWxQSwUGAAAAAAQABAD1AAAAhwMAAAAA&#10;" path="m109753,v,,2896,2692,6293,6510l118828,10476r,7313l116103,13343v-2101,-2821,-3873,-4859,-3873,-4859l112230,37427r6598,l118828,42253r-6598,l112230,70676r6598,-10052l118828,68863r-3461,4616c112309,76810,109753,79172,109753,79172r,-36919l92837,42253r8242,9652l97371,55893r,23698l118828,79591r,59360l112027,138951r,-5245l73241,133706r,26212l36093,159918r,30849l,190767,,173152r14643,l14643,135598r29705,l44348,94704r-8255,l36093,129515r-21450,l14643,85687r66231,l80874,42253r-17120,l63754,37427r17120,l80874,33871r-4750,l76124,20853r5372,-5232l93650,15621r3302,3569l96952,30518r-3302,3353l90373,33871r,3556l109753,37427,109753,xe" stroked="f" strokeweight="0">
                <v:stroke miterlimit="1" joinstyle="miter"/>
                <v:path arrowok="t" textboxrect="0,0,118828,190767"/>
              </v:shape>
              <v:shape id="Shape 20" o:spid="_x0000_s1041" style="position:absolute;left:3970;top:1844;width:784;height:1528;visibility:visible;mso-wrap-style:square;v-text-anchor:top" coordsize="78391,1525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TXsYA&#10;AADcAAAADwAAAGRycy9kb3ducmV2LnhtbESPQWsCMRSE7wX/Q3iCl6JZLRVZjSJCaXtrtRdvz80z&#10;2Xbzsm6y7ra/vikIPQ4z8w2z2vSuEldqQulZwXSSgSAuvC7ZKPg4PI0XIEJE1lh5JgXfFGCzHtyt&#10;MNe+43e67qMRCcIhRwU2xjqXMhSWHIaJr4mTd/aNw5hkY6RusEtwV8lZls2lw5LTgsWadpaKr33r&#10;FNw/B26P5vRzOby9Hj+NXbTzrlBqNOy3SxCR+vgfvrVftILH7AH+zq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TXsYAAADcAAAADwAAAAAAAAAAAAAAAACYAgAAZHJz&#10;L2Rvd25yZXYueG1sUEsFBgAAAAAEAAQA9QAAAIsDAAAAAA==&#10;" path="m19806,l71584,r,26429l49930,26429r,51600l78391,78029r,74473l46425,152502r,-16587l61271,135915r,-30835l24136,105080r,-5245l7626,99835r3518,5245l,105080,,45720r3308,l3308,51816r16498,l19806,3556,19806,xe" stroked="f" strokeweight="0">
                <v:stroke miterlimit="1" joinstyle="miter"/>
                <v:path arrowok="t" textboxrect="0,0,78391,152502"/>
              </v:shape>
              <v:shape id="Shape 21" o:spid="_x0000_s1042" style="position:absolute;left:3970;top:1604;width:198;height:585;visibility:visible;mso-wrap-style:square;v-text-anchor:top" coordsize="19806,58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zgcscA&#10;AADcAAAADwAAAGRycy9kb3ducmV2LnhtbESP3WoCMRSE7wu+QzhC72piacWuRimlhUoRdPsD3p1u&#10;TncXNydrkrrr2zeC0MthZr5h5sveNuJIPtSONYxHCgRx4UzNpYaP95ebKYgQkQ02jknDiQIsF4Or&#10;OWbGdbylYx5LkSAcMtRQxdhmUoaiIoth5Fri5P04bzEm6UtpPHYJbht5q9REWqw5LVTY0lNFxT7/&#10;tRoOnh7U+uvNPfMunxw2nyv53a20vh72jzMQkfr4H760X42Ge3UH5zPp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M4HLHAAAA3AAAAA8AAAAAAAAAAAAAAAAAmAIAAGRy&#10;cy9kb3ducmV2LnhtbFBLBQYAAAAABAAEAPUAAACMAwAAAAA=&#10;" path="m,l6521,9298v2896,6477,3912,10579,4407,17653l19806,26951r-7633,4826l10928,31777c10204,39765,8833,44401,5163,51500l,58387,,50148,3105,45417c5201,40362,6013,37238,6598,31777l,31777,,26951r6598,c6204,21134,5391,17782,3131,12422l,7313,,xe" stroked="f" strokeweight="0">
                <v:stroke miterlimit="1" joinstyle="miter"/>
                <v:path arrowok="t" textboxrect="0,0,19806,58387"/>
              </v:shape>
              <v:rect id="Rectangle 27" o:spid="_x0000_s1043" style="position:absolute;left:43225;top:24;width:27724;height:35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WDCcUA&#10;AADcAAAADwAAAGRycy9kb3ducmV2LnhtbESPT2vCQBTE74LfYXlCL6KbCrZN6ipSW+NN/HPx9sg+&#10;N6HZtyG71fjt3YLgcZiZ3zCzRWdrcaHWV44VvI4TEMSF0xUbBcfDz+gDhA/IGmvHpOBGHhbzfm+G&#10;mXZX3tFlH4yIEPYZKihDaDIpfVGSRT92DXH0zq61GKJsjdQtXiPc1nKSJG/SYsVxocSGvkoqfvd/&#10;VsH7ajmk7cmdw3e6TnOzy9epyZV6GXTLTxCBuvAMP9obrWCaTOH/TD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hYMJxQAAANwAAAAPAAAAAAAAAAAAAAAAAJgCAABkcnMv&#10;ZG93bnJldi54bWxQSwUGAAAAAAQABAD1AAAAigMAAAAA&#10;" filled="f" stroked="f">
                <v:textbox inset="0,0,0,0">
                  <w:txbxContent>
                    <w:p w:rsidR="00E70773" w:rsidRPr="008404AE" w:rsidRDefault="00120387" w:rsidP="00861167">
                      <w:pPr>
                        <w:pStyle w:val="AmazoneKopfzeile"/>
                        <w:spacing w:line="240" w:lineRule="auto"/>
                        <w:rPr>
                          <w:b/>
                        </w:rPr>
                      </w:pPr>
                      <w:r>
                        <w:rPr>
                          <w:b/>
                        </w:rPr>
                        <w:t>Press</w:t>
                      </w:r>
                      <w:r w:rsidR="00E70773">
                        <w:rPr>
                          <w:b/>
                        </w:rPr>
                        <w:t xml:space="preserve"> Information</w:t>
                      </w:r>
                    </w:p>
                  </w:txbxContent>
                </v:textbox>
              </v:rect>
              <v:shape id="Shape 22" o:spid="_x0000_s1044" style="position:absolute;left:80;top:3983;width:72002;height:6910;visibility:visible;mso-wrap-style:square;v-text-anchor:top" coordsize="7190562,6809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4WEMYA&#10;AADcAAAADwAAAGRycy9kb3ducmV2LnhtbESP3WoCMRSE74W+QziF3tWkYqVsjVIKQn9A1q3F28Pm&#10;dHcxOVmSVLc+vREKXg4z8w0zXw7OigOF2HnW8DBWIIhrbzpuNGy/VvdPIGJCNmg9k4Y/irBc3Izm&#10;WBh/5A0dqtSIDOFYoIY2pb6QMtYtOYxj3xNn78cHhynL0EgT8JjhzsqJUjPpsOO80GJPry3V++rX&#10;aZiuVWjsx3Rflbtd+f5Zfp+2ldX67nZ4eQaRaEjX8H/7zWh4VDO4nMlHQC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4WEMYAAADcAAAADwAAAAAAAAAAAAAAAACYAgAAZHJz&#10;L2Rvd25yZXYueG1sUEsFBgAAAAAEAAQA9QAAAIsDAAAAAA==&#10;" path="m,144361l,680961r7190562,l7190562,e" filled="f" strokecolor="#dcdedd" strokeweight=".5pt">
                <v:stroke miterlimit="1" joinstyle="miter"/>
                <v:path arrowok="t" textboxrect="0,0,7190562,680961"/>
              </v:shape>
              <w10:wrap type="square" anchorx="page" anchory="page"/>
              <w10:anchorlock/>
            </v:group>
          </w:pict>
        </mc:Fallback>
      </mc:AlternateContent>
    </w:r>
    <w:r w:rsidRPr="00B65B4E">
      <w:rPr>
        <w:noProof/>
        <w:sz w:val="10"/>
        <w:szCs w:val="18"/>
        <w:lang w:val="en-GB" w:eastAsia="en-GB"/>
      </w:rPr>
      <mc:AlternateContent>
        <mc:Choice Requires="wps">
          <w:drawing>
            <wp:anchor distT="0" distB="0" distL="114300" distR="114300" simplePos="0" relativeHeight="251730944" behindDoc="0" locked="1" layoutInCell="1" allowOverlap="1" wp14:anchorId="2B3E1BA7" wp14:editId="08B7AE03">
              <wp:simplePos x="0" y="0"/>
              <wp:positionH relativeFrom="page">
                <wp:posOffset>5381625</wp:posOffset>
              </wp:positionH>
              <wp:positionV relativeFrom="page">
                <wp:posOffset>676275</wp:posOffset>
              </wp:positionV>
              <wp:extent cx="1876425" cy="180975"/>
              <wp:effectExtent l="0" t="0" r="0" b="0"/>
              <wp:wrapSquare wrapText="bothSides"/>
              <wp:docPr id="507" name="Rectangle 23"/>
              <wp:cNvGraphicFramePr/>
              <a:graphic xmlns:a="http://schemas.openxmlformats.org/drawingml/2006/main">
                <a:graphicData uri="http://schemas.microsoft.com/office/word/2010/wordprocessingShape">
                  <wps:wsp>
                    <wps:cNvSpPr/>
                    <wps:spPr>
                      <a:xfrm>
                        <a:off x="0" y="0"/>
                        <a:ext cx="1876425" cy="180975"/>
                      </a:xfrm>
                      <a:prstGeom prst="rect">
                        <a:avLst/>
                      </a:prstGeom>
                      <a:ln>
                        <a:noFill/>
                      </a:ln>
                    </wps:spPr>
                    <wps:txbx>
                      <w:txbxContent>
                        <w:p w:rsidR="00E70773" w:rsidRPr="00000275" w:rsidRDefault="00FF312D" w:rsidP="00000275">
                          <w:pPr>
                            <w:pStyle w:val="AmazoneKopfzeile"/>
                            <w:rPr>
                              <w:sz w:val="20"/>
                              <w:szCs w:val="24"/>
                            </w:rPr>
                          </w:pPr>
                          <w:r w:rsidRPr="00000275">
                            <w:rPr>
                              <w:sz w:val="20"/>
                              <w:szCs w:val="24"/>
                            </w:rPr>
                            <w:fldChar w:fldCharType="begin"/>
                          </w:r>
                          <w:r w:rsidRPr="00000275">
                            <w:rPr>
                              <w:sz w:val="20"/>
                              <w:szCs w:val="24"/>
                              <w:lang w:val="en-GB"/>
                            </w:rPr>
                            <w:instrText xml:space="preserve"> DATE \@ "dd MMMM yyyy" </w:instrText>
                          </w:r>
                          <w:r w:rsidRPr="00000275">
                            <w:rPr>
                              <w:sz w:val="20"/>
                              <w:szCs w:val="24"/>
                            </w:rPr>
                            <w:fldChar w:fldCharType="separate"/>
                          </w:r>
                          <w:r w:rsidR="00E06412">
                            <w:rPr>
                              <w:noProof/>
                              <w:sz w:val="20"/>
                              <w:szCs w:val="24"/>
                              <w:lang w:val="en-GB"/>
                            </w:rPr>
                            <w:t>27 April 2023</w:t>
                          </w:r>
                          <w:r w:rsidRPr="00000275">
                            <w:rPr>
                              <w:sz w:val="20"/>
                              <w:szCs w:val="24"/>
                            </w:rPr>
                            <w:fldChar w:fldCharType="end"/>
                          </w:r>
                        </w:p>
                      </w:txbxContent>
                    </wps:txbx>
                    <wps:bodyPr horzOverflow="overflow" vert="horz" wrap="square" lIns="0" tIns="0" rIns="0" bIns="0" rtlCol="0" anchor="b">
                      <a:noAutofit/>
                    </wps:bodyPr>
                  </wps:wsp>
                </a:graphicData>
              </a:graphic>
              <wp14:sizeRelH relativeFrom="margin">
                <wp14:pctWidth>0</wp14:pctWidth>
              </wp14:sizeRelH>
              <wp14:sizeRelV relativeFrom="margin">
                <wp14:pctHeight>0</wp14:pctHeight>
              </wp14:sizeRelV>
            </wp:anchor>
          </w:drawing>
        </mc:Choice>
        <mc:Fallback>
          <w:pict>
            <v:rect w14:anchorId="2B3E1BA7" id="Rectangle 23" o:spid="_x0000_s1045" style="position:absolute;left:0;text-align:left;margin-left:423.75pt;margin-top:53.25pt;width:147.75pt;height:14.25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" filled="f" stroked="f">
              <v:textbox inset="0,0,0,0">
                <w:txbxContent>
                  <w:p w:rsidR="00E70773" w:rsidRPr="00000275" w:rsidRDefault="00FF312D" w:rsidP="00000275">
                    <w:pPr>
                      <w:pStyle w:val="AmazoneKopfzeile"/>
                      <w:rPr>
                        <w:sz w:val="20"/>
                        <w:szCs w:val="24"/>
                      </w:rPr>
                    </w:pPr>
                    <w:r w:rsidRPr="00000275">
                      <w:rPr>
                        <w:sz w:val="20"/>
                        <w:szCs w:val="24"/>
                      </w:rPr>
                      <w:fldChar w:fldCharType="begin"/>
                    </w:r>
                    <w:r w:rsidRPr="00000275">
                      <w:rPr>
                        <w:sz w:val="20"/>
                        <w:szCs w:val="24"/>
                        <w:lang w:val="en-GB"/>
                      </w:rPr>
                      <w:instrText xml:space="preserve"> DATE \@ "dd MMMM yyyy" </w:instrText>
                    </w:r>
                    <w:r w:rsidRPr="00000275">
                      <w:rPr>
                        <w:sz w:val="20"/>
                        <w:szCs w:val="24"/>
                      </w:rPr>
                      <w:fldChar w:fldCharType="separate"/>
                    </w:r>
                    <w:r w:rsidR="00E06412">
                      <w:rPr>
                        <w:noProof/>
                        <w:sz w:val="20"/>
                        <w:szCs w:val="24"/>
                        <w:lang w:val="en-GB"/>
                      </w:rPr>
                      <w:t>27 April 2023</w:t>
                    </w:r>
                    <w:r w:rsidRPr="00000275">
                      <w:rPr>
                        <w:sz w:val="20"/>
                        <w:szCs w:val="24"/>
                      </w:rPr>
                      <w:fldChar w:fldCharType="end"/>
                    </w:r>
                  </w:p>
                </w:txbxContent>
              </v:textbox>
              <w10:wrap type="square" anchorx="page" anchory="page"/>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2641AC"/>
    <w:multiLevelType w:val="hybridMultilevel"/>
    <w:tmpl w:val="8B64116E"/>
    <w:lvl w:ilvl="0" w:tplc="22F44788">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45B314C"/>
    <w:multiLevelType w:val="multilevel"/>
    <w:tmpl w:val="E9A88884"/>
    <w:lvl w:ilvl="0">
      <w:start w:val="1"/>
      <w:numFmt w:val="decimal"/>
      <w:pStyle w:val="Heading1"/>
      <w:lvlText w:val="%1"/>
      <w:lvlJc w:val="left"/>
      <w:pPr>
        <w:tabs>
          <w:tab w:val="num" w:pos="1134"/>
        </w:tabs>
        <w:ind w:left="0" w:firstLine="0"/>
      </w:pPr>
      <w:rPr>
        <w:rFonts w:hint="default"/>
      </w:rPr>
    </w:lvl>
    <w:lvl w:ilvl="1">
      <w:start w:val="1"/>
      <w:numFmt w:val="decimal"/>
      <w:pStyle w:val="Heading2"/>
      <w:isLgl/>
      <w:lvlText w:val="%1.%2"/>
      <w:lvlJc w:val="left"/>
      <w:pPr>
        <w:tabs>
          <w:tab w:val="num" w:pos="1134"/>
        </w:tabs>
        <w:ind w:left="0" w:firstLine="0"/>
      </w:pPr>
      <w:rPr>
        <w:rFonts w:hint="default"/>
      </w:rPr>
    </w:lvl>
    <w:lvl w:ilvl="2">
      <w:start w:val="1"/>
      <w:numFmt w:val="decimal"/>
      <w:pStyle w:val="Heading3"/>
      <w:isLgl/>
      <w:lvlText w:val="%1.%2.%3"/>
      <w:lvlJc w:val="left"/>
      <w:pPr>
        <w:tabs>
          <w:tab w:val="num" w:pos="1134"/>
        </w:tabs>
        <w:ind w:left="0" w:firstLine="0"/>
      </w:pPr>
      <w:rPr>
        <w:rFonts w:hint="default"/>
      </w:rPr>
    </w:lvl>
    <w:lvl w:ilvl="3">
      <w:start w:val="1"/>
      <w:numFmt w:val="decimal"/>
      <w:pStyle w:val="Heading4"/>
      <w:isLgl/>
      <w:lvlText w:val="%1.%2.%3.%4"/>
      <w:lvlJc w:val="left"/>
      <w:pPr>
        <w:tabs>
          <w:tab w:val="num" w:pos="1134"/>
        </w:tabs>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 w15:restartNumberingAfterBreak="0">
    <w:nsid w:val="7B2209DC"/>
    <w:multiLevelType w:val="hybridMultilevel"/>
    <w:tmpl w:val="C2581D14"/>
    <w:lvl w:ilvl="0" w:tplc="B274C1CA">
      <w:start w:val="1"/>
      <w:numFmt w:val="upperLetter"/>
      <w:pStyle w:val="Heading5"/>
      <w:lvlText w:val="Anhang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9"/>
  <w:autoHyphenation/>
  <w:hyphenationZone w:val="425"/>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606"/>
    <w:rsid w:val="00000275"/>
    <w:rsid w:val="0001143B"/>
    <w:rsid w:val="00012F4D"/>
    <w:rsid w:val="00016C89"/>
    <w:rsid w:val="000221C8"/>
    <w:rsid w:val="00026855"/>
    <w:rsid w:val="00031BFC"/>
    <w:rsid w:val="0003496A"/>
    <w:rsid w:val="00037483"/>
    <w:rsid w:val="00043535"/>
    <w:rsid w:val="000472CD"/>
    <w:rsid w:val="000642FB"/>
    <w:rsid w:val="0008232D"/>
    <w:rsid w:val="00083B79"/>
    <w:rsid w:val="00091011"/>
    <w:rsid w:val="000A2A1B"/>
    <w:rsid w:val="000A61BF"/>
    <w:rsid w:val="000A63B2"/>
    <w:rsid w:val="000A75F7"/>
    <w:rsid w:val="000B1BC7"/>
    <w:rsid w:val="000B33B0"/>
    <w:rsid w:val="000B45F6"/>
    <w:rsid w:val="000B6CC6"/>
    <w:rsid w:val="000B7666"/>
    <w:rsid w:val="000C17EA"/>
    <w:rsid w:val="000C23D9"/>
    <w:rsid w:val="000D24C2"/>
    <w:rsid w:val="000D282A"/>
    <w:rsid w:val="000E471C"/>
    <w:rsid w:val="000E57AA"/>
    <w:rsid w:val="000E5B07"/>
    <w:rsid w:val="000F0726"/>
    <w:rsid w:val="000F5FC7"/>
    <w:rsid w:val="000F62ED"/>
    <w:rsid w:val="00102EAE"/>
    <w:rsid w:val="001110A2"/>
    <w:rsid w:val="00120387"/>
    <w:rsid w:val="001215D9"/>
    <w:rsid w:val="00131B29"/>
    <w:rsid w:val="00133880"/>
    <w:rsid w:val="001344D1"/>
    <w:rsid w:val="001361EC"/>
    <w:rsid w:val="00141F82"/>
    <w:rsid w:val="0014239D"/>
    <w:rsid w:val="00144CEA"/>
    <w:rsid w:val="00150A80"/>
    <w:rsid w:val="00153528"/>
    <w:rsid w:val="00153E23"/>
    <w:rsid w:val="00156505"/>
    <w:rsid w:val="00161F11"/>
    <w:rsid w:val="0016390B"/>
    <w:rsid w:val="00165AD6"/>
    <w:rsid w:val="00174351"/>
    <w:rsid w:val="0017464D"/>
    <w:rsid w:val="00177D5D"/>
    <w:rsid w:val="00191391"/>
    <w:rsid w:val="00195158"/>
    <w:rsid w:val="0019690C"/>
    <w:rsid w:val="00197657"/>
    <w:rsid w:val="001A19CD"/>
    <w:rsid w:val="001A21D6"/>
    <w:rsid w:val="001A3E59"/>
    <w:rsid w:val="001A6441"/>
    <w:rsid w:val="001B25C0"/>
    <w:rsid w:val="001B53F7"/>
    <w:rsid w:val="001C0576"/>
    <w:rsid w:val="001C3E4B"/>
    <w:rsid w:val="001C4CAF"/>
    <w:rsid w:val="001C7FF1"/>
    <w:rsid w:val="001D1DA5"/>
    <w:rsid w:val="001D2626"/>
    <w:rsid w:val="001E2267"/>
    <w:rsid w:val="001E3446"/>
    <w:rsid w:val="001E7F7E"/>
    <w:rsid w:val="001F0434"/>
    <w:rsid w:val="001F1DF3"/>
    <w:rsid w:val="00200FB0"/>
    <w:rsid w:val="00203F6D"/>
    <w:rsid w:val="00212A96"/>
    <w:rsid w:val="002222B7"/>
    <w:rsid w:val="00225DBF"/>
    <w:rsid w:val="0023310F"/>
    <w:rsid w:val="0025069F"/>
    <w:rsid w:val="0025131E"/>
    <w:rsid w:val="00253B97"/>
    <w:rsid w:val="00253C92"/>
    <w:rsid w:val="00254158"/>
    <w:rsid w:val="0025680B"/>
    <w:rsid w:val="00273836"/>
    <w:rsid w:val="002810BA"/>
    <w:rsid w:val="00282610"/>
    <w:rsid w:val="00285576"/>
    <w:rsid w:val="0029306F"/>
    <w:rsid w:val="00295DBC"/>
    <w:rsid w:val="002A708C"/>
    <w:rsid w:val="002B5747"/>
    <w:rsid w:val="002B6317"/>
    <w:rsid w:val="002B70D7"/>
    <w:rsid w:val="002C2E31"/>
    <w:rsid w:val="002C476A"/>
    <w:rsid w:val="002E5095"/>
    <w:rsid w:val="003009CF"/>
    <w:rsid w:val="00305261"/>
    <w:rsid w:val="00305E48"/>
    <w:rsid w:val="00305F57"/>
    <w:rsid w:val="003106CB"/>
    <w:rsid w:val="00316CE0"/>
    <w:rsid w:val="003171E2"/>
    <w:rsid w:val="0032082C"/>
    <w:rsid w:val="00330475"/>
    <w:rsid w:val="0033542A"/>
    <w:rsid w:val="003423C2"/>
    <w:rsid w:val="00346B23"/>
    <w:rsid w:val="00347F9D"/>
    <w:rsid w:val="00354FC0"/>
    <w:rsid w:val="00355FFA"/>
    <w:rsid w:val="00356B7D"/>
    <w:rsid w:val="003575E1"/>
    <w:rsid w:val="00362147"/>
    <w:rsid w:val="00366626"/>
    <w:rsid w:val="00371383"/>
    <w:rsid w:val="003714BB"/>
    <w:rsid w:val="003728DB"/>
    <w:rsid w:val="003740E5"/>
    <w:rsid w:val="0038177B"/>
    <w:rsid w:val="00385DB8"/>
    <w:rsid w:val="00387D21"/>
    <w:rsid w:val="003A2267"/>
    <w:rsid w:val="003A2B33"/>
    <w:rsid w:val="003A35AC"/>
    <w:rsid w:val="003A4C7B"/>
    <w:rsid w:val="003A4CBC"/>
    <w:rsid w:val="003A6470"/>
    <w:rsid w:val="003B1400"/>
    <w:rsid w:val="003B179F"/>
    <w:rsid w:val="003B5D4D"/>
    <w:rsid w:val="003C0537"/>
    <w:rsid w:val="003C209F"/>
    <w:rsid w:val="003C2E31"/>
    <w:rsid w:val="003C4833"/>
    <w:rsid w:val="003D5DFF"/>
    <w:rsid w:val="003D5E19"/>
    <w:rsid w:val="003D6908"/>
    <w:rsid w:val="003D7F7C"/>
    <w:rsid w:val="003E02E4"/>
    <w:rsid w:val="003F3048"/>
    <w:rsid w:val="003F766A"/>
    <w:rsid w:val="00401696"/>
    <w:rsid w:val="00404780"/>
    <w:rsid w:val="00405628"/>
    <w:rsid w:val="00406224"/>
    <w:rsid w:val="00407CAC"/>
    <w:rsid w:val="004127A5"/>
    <w:rsid w:val="0041325A"/>
    <w:rsid w:val="00420D9B"/>
    <w:rsid w:val="00421539"/>
    <w:rsid w:val="0042166C"/>
    <w:rsid w:val="00422768"/>
    <w:rsid w:val="00434D4B"/>
    <w:rsid w:val="004438C0"/>
    <w:rsid w:val="00444F19"/>
    <w:rsid w:val="00452C7C"/>
    <w:rsid w:val="00456F6A"/>
    <w:rsid w:val="00467B9B"/>
    <w:rsid w:val="00473143"/>
    <w:rsid w:val="00496F30"/>
    <w:rsid w:val="004A234F"/>
    <w:rsid w:val="004B4C51"/>
    <w:rsid w:val="004B556A"/>
    <w:rsid w:val="004C1FFD"/>
    <w:rsid w:val="004D39A4"/>
    <w:rsid w:val="004D4063"/>
    <w:rsid w:val="004D69D2"/>
    <w:rsid w:val="004D7D5D"/>
    <w:rsid w:val="004E023E"/>
    <w:rsid w:val="004F0BF1"/>
    <w:rsid w:val="004F3A00"/>
    <w:rsid w:val="00500D86"/>
    <w:rsid w:val="00501F75"/>
    <w:rsid w:val="00505A34"/>
    <w:rsid w:val="005136B9"/>
    <w:rsid w:val="00514DE8"/>
    <w:rsid w:val="005201C4"/>
    <w:rsid w:val="00523A4A"/>
    <w:rsid w:val="0052625E"/>
    <w:rsid w:val="00530939"/>
    <w:rsid w:val="00537BA1"/>
    <w:rsid w:val="0054060D"/>
    <w:rsid w:val="005432EC"/>
    <w:rsid w:val="00544C21"/>
    <w:rsid w:val="00550A5F"/>
    <w:rsid w:val="00552ED7"/>
    <w:rsid w:val="00561890"/>
    <w:rsid w:val="00564FF9"/>
    <w:rsid w:val="0056562D"/>
    <w:rsid w:val="00570D5D"/>
    <w:rsid w:val="005718E3"/>
    <w:rsid w:val="005732D1"/>
    <w:rsid w:val="00573320"/>
    <w:rsid w:val="00580D57"/>
    <w:rsid w:val="00582DF2"/>
    <w:rsid w:val="005919C9"/>
    <w:rsid w:val="005935A4"/>
    <w:rsid w:val="00596BC1"/>
    <w:rsid w:val="00597A44"/>
    <w:rsid w:val="005A198B"/>
    <w:rsid w:val="005B2704"/>
    <w:rsid w:val="005B7023"/>
    <w:rsid w:val="005C16BB"/>
    <w:rsid w:val="005C72C0"/>
    <w:rsid w:val="005D10C6"/>
    <w:rsid w:val="005D289D"/>
    <w:rsid w:val="005D4774"/>
    <w:rsid w:val="005E737C"/>
    <w:rsid w:val="005F03D3"/>
    <w:rsid w:val="005F4AB3"/>
    <w:rsid w:val="005F6CCE"/>
    <w:rsid w:val="00604B20"/>
    <w:rsid w:val="0060614F"/>
    <w:rsid w:val="006109AF"/>
    <w:rsid w:val="00611F48"/>
    <w:rsid w:val="006169A9"/>
    <w:rsid w:val="00617E63"/>
    <w:rsid w:val="00624873"/>
    <w:rsid w:val="00625004"/>
    <w:rsid w:val="00626A5A"/>
    <w:rsid w:val="00627C80"/>
    <w:rsid w:val="00627F9F"/>
    <w:rsid w:val="006433AD"/>
    <w:rsid w:val="006466AE"/>
    <w:rsid w:val="0065344A"/>
    <w:rsid w:val="00653629"/>
    <w:rsid w:val="00654930"/>
    <w:rsid w:val="00655248"/>
    <w:rsid w:val="00675427"/>
    <w:rsid w:val="0067633F"/>
    <w:rsid w:val="00695AEA"/>
    <w:rsid w:val="006A4502"/>
    <w:rsid w:val="006B291A"/>
    <w:rsid w:val="006B4DDD"/>
    <w:rsid w:val="006B66D5"/>
    <w:rsid w:val="006C37B5"/>
    <w:rsid w:val="006C38D6"/>
    <w:rsid w:val="006C6529"/>
    <w:rsid w:val="006D2FE2"/>
    <w:rsid w:val="006D35A3"/>
    <w:rsid w:val="006E4BF4"/>
    <w:rsid w:val="006E5202"/>
    <w:rsid w:val="006F6C63"/>
    <w:rsid w:val="00704076"/>
    <w:rsid w:val="0070640E"/>
    <w:rsid w:val="0072639E"/>
    <w:rsid w:val="00736039"/>
    <w:rsid w:val="00741868"/>
    <w:rsid w:val="00747185"/>
    <w:rsid w:val="0075240D"/>
    <w:rsid w:val="007545B0"/>
    <w:rsid w:val="00762CE5"/>
    <w:rsid w:val="00763D20"/>
    <w:rsid w:val="00771D01"/>
    <w:rsid w:val="0077290F"/>
    <w:rsid w:val="00776255"/>
    <w:rsid w:val="00776A8D"/>
    <w:rsid w:val="00777A68"/>
    <w:rsid w:val="00793942"/>
    <w:rsid w:val="007A4361"/>
    <w:rsid w:val="007A4F83"/>
    <w:rsid w:val="007B0302"/>
    <w:rsid w:val="007C4227"/>
    <w:rsid w:val="007C4254"/>
    <w:rsid w:val="007C47AF"/>
    <w:rsid w:val="007D165F"/>
    <w:rsid w:val="007D1F47"/>
    <w:rsid w:val="007D260E"/>
    <w:rsid w:val="007D3EC6"/>
    <w:rsid w:val="007F3EE1"/>
    <w:rsid w:val="007F4435"/>
    <w:rsid w:val="007F7DBB"/>
    <w:rsid w:val="00810789"/>
    <w:rsid w:val="008134C2"/>
    <w:rsid w:val="00813730"/>
    <w:rsid w:val="0082257A"/>
    <w:rsid w:val="00824A91"/>
    <w:rsid w:val="00825017"/>
    <w:rsid w:val="00832277"/>
    <w:rsid w:val="008404AE"/>
    <w:rsid w:val="00841FBB"/>
    <w:rsid w:val="0084519F"/>
    <w:rsid w:val="008469CB"/>
    <w:rsid w:val="00856316"/>
    <w:rsid w:val="00861167"/>
    <w:rsid w:val="00867F42"/>
    <w:rsid w:val="00874F93"/>
    <w:rsid w:val="00880745"/>
    <w:rsid w:val="00880AFE"/>
    <w:rsid w:val="0088531B"/>
    <w:rsid w:val="00886561"/>
    <w:rsid w:val="00886D79"/>
    <w:rsid w:val="00891649"/>
    <w:rsid w:val="008A1CDE"/>
    <w:rsid w:val="008A3182"/>
    <w:rsid w:val="008A337E"/>
    <w:rsid w:val="008A548D"/>
    <w:rsid w:val="008A549B"/>
    <w:rsid w:val="008B2B2E"/>
    <w:rsid w:val="008B4F67"/>
    <w:rsid w:val="008B70FE"/>
    <w:rsid w:val="008D19E9"/>
    <w:rsid w:val="008D5185"/>
    <w:rsid w:val="008E41AF"/>
    <w:rsid w:val="008E4C54"/>
    <w:rsid w:val="008E7748"/>
    <w:rsid w:val="008E7841"/>
    <w:rsid w:val="008F22B4"/>
    <w:rsid w:val="008F3FF7"/>
    <w:rsid w:val="008F4037"/>
    <w:rsid w:val="009000F7"/>
    <w:rsid w:val="00903962"/>
    <w:rsid w:val="00903A95"/>
    <w:rsid w:val="00905C13"/>
    <w:rsid w:val="00907928"/>
    <w:rsid w:val="009143AB"/>
    <w:rsid w:val="009162C1"/>
    <w:rsid w:val="00920B7A"/>
    <w:rsid w:val="00927B9C"/>
    <w:rsid w:val="00943035"/>
    <w:rsid w:val="009475AD"/>
    <w:rsid w:val="00956BE2"/>
    <w:rsid w:val="00960A5B"/>
    <w:rsid w:val="00961819"/>
    <w:rsid w:val="0096498E"/>
    <w:rsid w:val="00966C98"/>
    <w:rsid w:val="00967617"/>
    <w:rsid w:val="00971963"/>
    <w:rsid w:val="00974B30"/>
    <w:rsid w:val="009919ED"/>
    <w:rsid w:val="009938CA"/>
    <w:rsid w:val="009977DD"/>
    <w:rsid w:val="009A0DB3"/>
    <w:rsid w:val="009B674B"/>
    <w:rsid w:val="009D295A"/>
    <w:rsid w:val="009D31C3"/>
    <w:rsid w:val="009E046E"/>
    <w:rsid w:val="009E177D"/>
    <w:rsid w:val="009E1FE2"/>
    <w:rsid w:val="009E37CE"/>
    <w:rsid w:val="009E48A3"/>
    <w:rsid w:val="009F01BA"/>
    <w:rsid w:val="009F0E15"/>
    <w:rsid w:val="009F5BC3"/>
    <w:rsid w:val="009F7053"/>
    <w:rsid w:val="00A00176"/>
    <w:rsid w:val="00A0780D"/>
    <w:rsid w:val="00A11554"/>
    <w:rsid w:val="00A1620B"/>
    <w:rsid w:val="00A24F4C"/>
    <w:rsid w:val="00A251C8"/>
    <w:rsid w:val="00A33F29"/>
    <w:rsid w:val="00A42060"/>
    <w:rsid w:val="00A44F9F"/>
    <w:rsid w:val="00A4658C"/>
    <w:rsid w:val="00A545DC"/>
    <w:rsid w:val="00A62CEB"/>
    <w:rsid w:val="00A639DD"/>
    <w:rsid w:val="00A66E7F"/>
    <w:rsid w:val="00A72225"/>
    <w:rsid w:val="00A841A7"/>
    <w:rsid w:val="00A91968"/>
    <w:rsid w:val="00A91BF2"/>
    <w:rsid w:val="00A97BE7"/>
    <w:rsid w:val="00AA2DF2"/>
    <w:rsid w:val="00AA2EB1"/>
    <w:rsid w:val="00AC1C8C"/>
    <w:rsid w:val="00AC7DA8"/>
    <w:rsid w:val="00AD2536"/>
    <w:rsid w:val="00AE0858"/>
    <w:rsid w:val="00AF16EE"/>
    <w:rsid w:val="00B0000E"/>
    <w:rsid w:val="00B07F52"/>
    <w:rsid w:val="00B10C06"/>
    <w:rsid w:val="00B16238"/>
    <w:rsid w:val="00B227BA"/>
    <w:rsid w:val="00B364A0"/>
    <w:rsid w:val="00B36517"/>
    <w:rsid w:val="00B44DBA"/>
    <w:rsid w:val="00B536F3"/>
    <w:rsid w:val="00B53ED0"/>
    <w:rsid w:val="00B55CCE"/>
    <w:rsid w:val="00B6339B"/>
    <w:rsid w:val="00B65B4E"/>
    <w:rsid w:val="00B661CD"/>
    <w:rsid w:val="00B703F8"/>
    <w:rsid w:val="00B73E2B"/>
    <w:rsid w:val="00B808F3"/>
    <w:rsid w:val="00B821CE"/>
    <w:rsid w:val="00B83E30"/>
    <w:rsid w:val="00BA38C2"/>
    <w:rsid w:val="00BB1C53"/>
    <w:rsid w:val="00BB2696"/>
    <w:rsid w:val="00BB60E5"/>
    <w:rsid w:val="00BC0F94"/>
    <w:rsid w:val="00BC158A"/>
    <w:rsid w:val="00BD1F1F"/>
    <w:rsid w:val="00BD68D9"/>
    <w:rsid w:val="00BE1DBD"/>
    <w:rsid w:val="00BE2DE0"/>
    <w:rsid w:val="00BF1077"/>
    <w:rsid w:val="00BF69D7"/>
    <w:rsid w:val="00BF7985"/>
    <w:rsid w:val="00C01487"/>
    <w:rsid w:val="00C07C48"/>
    <w:rsid w:val="00C158D0"/>
    <w:rsid w:val="00C16419"/>
    <w:rsid w:val="00C24AF8"/>
    <w:rsid w:val="00C334D0"/>
    <w:rsid w:val="00C35335"/>
    <w:rsid w:val="00C364A9"/>
    <w:rsid w:val="00C51B18"/>
    <w:rsid w:val="00C52863"/>
    <w:rsid w:val="00C52EFF"/>
    <w:rsid w:val="00C61522"/>
    <w:rsid w:val="00C631D5"/>
    <w:rsid w:val="00C66112"/>
    <w:rsid w:val="00C728CD"/>
    <w:rsid w:val="00C72FD7"/>
    <w:rsid w:val="00C92389"/>
    <w:rsid w:val="00C93AB1"/>
    <w:rsid w:val="00C9727D"/>
    <w:rsid w:val="00CB02B2"/>
    <w:rsid w:val="00CB32A0"/>
    <w:rsid w:val="00CB4766"/>
    <w:rsid w:val="00CB4DDA"/>
    <w:rsid w:val="00CB7ABD"/>
    <w:rsid w:val="00CC6D83"/>
    <w:rsid w:val="00CC7606"/>
    <w:rsid w:val="00CD2357"/>
    <w:rsid w:val="00CE2002"/>
    <w:rsid w:val="00CE2ADA"/>
    <w:rsid w:val="00CE3399"/>
    <w:rsid w:val="00CE40AA"/>
    <w:rsid w:val="00CF09A7"/>
    <w:rsid w:val="00D167EA"/>
    <w:rsid w:val="00D17E3D"/>
    <w:rsid w:val="00D239BF"/>
    <w:rsid w:val="00D337C0"/>
    <w:rsid w:val="00D359CF"/>
    <w:rsid w:val="00D40460"/>
    <w:rsid w:val="00D45981"/>
    <w:rsid w:val="00D500ED"/>
    <w:rsid w:val="00D6266E"/>
    <w:rsid w:val="00D6283F"/>
    <w:rsid w:val="00D6342E"/>
    <w:rsid w:val="00D71364"/>
    <w:rsid w:val="00D74DAB"/>
    <w:rsid w:val="00D75EF3"/>
    <w:rsid w:val="00D82C44"/>
    <w:rsid w:val="00D8314E"/>
    <w:rsid w:val="00D957B0"/>
    <w:rsid w:val="00DA0E01"/>
    <w:rsid w:val="00DA2296"/>
    <w:rsid w:val="00DA6340"/>
    <w:rsid w:val="00DB3DD1"/>
    <w:rsid w:val="00DB74C5"/>
    <w:rsid w:val="00DC0FA7"/>
    <w:rsid w:val="00DC73AA"/>
    <w:rsid w:val="00DD614F"/>
    <w:rsid w:val="00DD6426"/>
    <w:rsid w:val="00DD6DA1"/>
    <w:rsid w:val="00DE4A2F"/>
    <w:rsid w:val="00DE73C2"/>
    <w:rsid w:val="00DF060E"/>
    <w:rsid w:val="00DF4A40"/>
    <w:rsid w:val="00E039A1"/>
    <w:rsid w:val="00E06412"/>
    <w:rsid w:val="00E11A26"/>
    <w:rsid w:val="00E11C30"/>
    <w:rsid w:val="00E13B30"/>
    <w:rsid w:val="00E17A1D"/>
    <w:rsid w:val="00E43071"/>
    <w:rsid w:val="00E53DDF"/>
    <w:rsid w:val="00E61645"/>
    <w:rsid w:val="00E705F3"/>
    <w:rsid w:val="00E70773"/>
    <w:rsid w:val="00E771B7"/>
    <w:rsid w:val="00E80DD2"/>
    <w:rsid w:val="00E813F9"/>
    <w:rsid w:val="00E8640A"/>
    <w:rsid w:val="00EA140E"/>
    <w:rsid w:val="00EA27F3"/>
    <w:rsid w:val="00EA7556"/>
    <w:rsid w:val="00EB1B03"/>
    <w:rsid w:val="00EB538E"/>
    <w:rsid w:val="00EB5A83"/>
    <w:rsid w:val="00EC182D"/>
    <w:rsid w:val="00EC1883"/>
    <w:rsid w:val="00EC3A02"/>
    <w:rsid w:val="00EC64D2"/>
    <w:rsid w:val="00ED28A2"/>
    <w:rsid w:val="00F02C2F"/>
    <w:rsid w:val="00F046E7"/>
    <w:rsid w:val="00F06373"/>
    <w:rsid w:val="00F1121D"/>
    <w:rsid w:val="00F11DB9"/>
    <w:rsid w:val="00F14FBD"/>
    <w:rsid w:val="00F200FC"/>
    <w:rsid w:val="00F25F10"/>
    <w:rsid w:val="00F27DB8"/>
    <w:rsid w:val="00F354C2"/>
    <w:rsid w:val="00F4049E"/>
    <w:rsid w:val="00F4503E"/>
    <w:rsid w:val="00F55AC1"/>
    <w:rsid w:val="00F56AF7"/>
    <w:rsid w:val="00F60B75"/>
    <w:rsid w:val="00F64C0B"/>
    <w:rsid w:val="00F65C3B"/>
    <w:rsid w:val="00F770CB"/>
    <w:rsid w:val="00F8257E"/>
    <w:rsid w:val="00F82DEC"/>
    <w:rsid w:val="00F83310"/>
    <w:rsid w:val="00F86E36"/>
    <w:rsid w:val="00F9253D"/>
    <w:rsid w:val="00F9508D"/>
    <w:rsid w:val="00FB047D"/>
    <w:rsid w:val="00FB245A"/>
    <w:rsid w:val="00FB7D4F"/>
    <w:rsid w:val="00FC00A2"/>
    <w:rsid w:val="00FC358E"/>
    <w:rsid w:val="00FD0669"/>
    <w:rsid w:val="00FD092C"/>
    <w:rsid w:val="00FD531F"/>
    <w:rsid w:val="00FD6979"/>
    <w:rsid w:val="00FE24FA"/>
    <w:rsid w:val="00FF19F6"/>
    <w:rsid w:val="00FF20B2"/>
    <w:rsid w:val="00FF312D"/>
    <w:rsid w:val="00FF60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FCD2F5A8-7E84-4535-8742-32CC39B2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DBC"/>
    <w:pPr>
      <w:spacing w:before="160" w:after="0" w:line="312" w:lineRule="auto"/>
      <w:jc w:val="both"/>
    </w:pPr>
    <w:rPr>
      <w:rFonts w:ascii="Arial" w:hAnsi="Arial"/>
      <w:sz w:val="20"/>
    </w:rPr>
  </w:style>
  <w:style w:type="paragraph" w:styleId="Heading1">
    <w:name w:val="heading 1"/>
    <w:aliases w:val="Kapitelüberschrift"/>
    <w:basedOn w:val="Normal"/>
    <w:next w:val="Normal"/>
    <w:link w:val="Heading1Char"/>
    <w:uiPriority w:val="2"/>
    <w:qFormat/>
    <w:rsid w:val="00177D5D"/>
    <w:pPr>
      <w:keepNext/>
      <w:keepLines/>
      <w:numPr>
        <w:numId w:val="2"/>
      </w:numPr>
      <w:tabs>
        <w:tab w:val="left" w:pos="737"/>
      </w:tabs>
      <w:spacing w:before="0"/>
      <w:ind w:left="737" w:hanging="737"/>
      <w:outlineLvl w:val="0"/>
    </w:pPr>
    <w:rPr>
      <w:rFonts w:eastAsiaTheme="majorEastAsia" w:cstheme="majorBidi"/>
      <w:b/>
      <w:sz w:val="24"/>
      <w:szCs w:val="32"/>
    </w:rPr>
  </w:style>
  <w:style w:type="paragraph" w:styleId="Heading2">
    <w:name w:val="heading 2"/>
    <w:aliases w:val="Gliederungspunkt"/>
    <w:basedOn w:val="Heading1"/>
    <w:next w:val="Normal"/>
    <w:link w:val="Heading2Char"/>
    <w:uiPriority w:val="3"/>
    <w:unhideWhenUsed/>
    <w:qFormat/>
    <w:rsid w:val="00177D5D"/>
    <w:pPr>
      <w:numPr>
        <w:ilvl w:val="1"/>
      </w:numPr>
      <w:spacing w:before="160"/>
      <w:ind w:left="737" w:hanging="737"/>
      <w:outlineLvl w:val="1"/>
    </w:pPr>
    <w:rPr>
      <w:sz w:val="20"/>
    </w:rPr>
  </w:style>
  <w:style w:type="paragraph" w:styleId="Heading3">
    <w:name w:val="heading 3"/>
    <w:aliases w:val="Unterpunkt"/>
    <w:basedOn w:val="Heading2"/>
    <w:next w:val="Normal"/>
    <w:link w:val="Heading3Char"/>
    <w:uiPriority w:val="4"/>
    <w:unhideWhenUsed/>
    <w:qFormat/>
    <w:rsid w:val="00177D5D"/>
    <w:pPr>
      <w:numPr>
        <w:ilvl w:val="2"/>
      </w:numPr>
      <w:ind w:left="737" w:hanging="737"/>
      <w:outlineLvl w:val="2"/>
    </w:pPr>
  </w:style>
  <w:style w:type="paragraph" w:styleId="Heading4">
    <w:name w:val="heading 4"/>
    <w:aliases w:val="Detailpunkt"/>
    <w:basedOn w:val="Heading3"/>
    <w:next w:val="Normal"/>
    <w:link w:val="Heading4Char"/>
    <w:uiPriority w:val="5"/>
    <w:unhideWhenUsed/>
    <w:qFormat/>
    <w:rsid w:val="00177D5D"/>
    <w:pPr>
      <w:numPr>
        <w:ilvl w:val="3"/>
      </w:numPr>
      <w:ind w:left="737" w:hanging="737"/>
      <w:outlineLvl w:val="3"/>
    </w:pPr>
  </w:style>
  <w:style w:type="paragraph" w:styleId="Heading5">
    <w:name w:val="heading 5"/>
    <w:aliases w:val="Anhänge"/>
    <w:next w:val="Normal"/>
    <w:link w:val="Heading5Char"/>
    <w:uiPriority w:val="6"/>
    <w:unhideWhenUsed/>
    <w:qFormat/>
    <w:rsid w:val="00FE24FA"/>
    <w:pPr>
      <w:numPr>
        <w:numId w:val="4"/>
      </w:numPr>
      <w:tabs>
        <w:tab w:val="left" w:pos="1588"/>
      </w:tabs>
      <w:spacing w:after="0" w:line="312" w:lineRule="auto"/>
      <w:ind w:left="1588" w:hanging="1588"/>
      <w:outlineLvl w:val="4"/>
    </w:pPr>
    <w:rPr>
      <w:rFonts w:ascii="Arial" w:eastAsiaTheme="minorEastAsia" w:hAnsi="Arial" w:cs="Times New Roman"/>
      <w:b/>
      <w:sz w:val="24"/>
      <w:szCs w:val="2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73143"/>
    <w:pPr>
      <w:tabs>
        <w:tab w:val="center" w:pos="4536"/>
        <w:tab w:val="right" w:pos="9072"/>
      </w:tabs>
    </w:pPr>
  </w:style>
  <w:style w:type="character" w:customStyle="1" w:styleId="HeaderChar">
    <w:name w:val="Header Char"/>
    <w:basedOn w:val="DefaultParagraphFont"/>
    <w:link w:val="Header"/>
    <w:rsid w:val="00473143"/>
  </w:style>
  <w:style w:type="paragraph" w:styleId="Footer">
    <w:name w:val="footer"/>
    <w:basedOn w:val="Normal"/>
    <w:link w:val="FooterChar"/>
    <w:uiPriority w:val="99"/>
    <w:unhideWhenUsed/>
    <w:rsid w:val="00473143"/>
    <w:pPr>
      <w:tabs>
        <w:tab w:val="center" w:pos="4536"/>
        <w:tab w:val="right" w:pos="9072"/>
      </w:tabs>
    </w:pPr>
  </w:style>
  <w:style w:type="character" w:customStyle="1" w:styleId="FooterChar">
    <w:name w:val="Footer Char"/>
    <w:basedOn w:val="DefaultParagraphFont"/>
    <w:link w:val="Footer"/>
    <w:uiPriority w:val="99"/>
    <w:rsid w:val="00473143"/>
  </w:style>
  <w:style w:type="paragraph" w:styleId="ListParagraph">
    <w:name w:val="List Paragraph"/>
    <w:basedOn w:val="Normal"/>
    <w:uiPriority w:val="34"/>
    <w:qFormat/>
    <w:rsid w:val="00285576"/>
    <w:pPr>
      <w:ind w:left="720"/>
      <w:contextualSpacing/>
    </w:pPr>
  </w:style>
  <w:style w:type="character" w:customStyle="1" w:styleId="Heading1Char">
    <w:name w:val="Heading 1 Char"/>
    <w:aliases w:val="Kapitelüberschrift Char"/>
    <w:basedOn w:val="DefaultParagraphFont"/>
    <w:link w:val="Heading1"/>
    <w:uiPriority w:val="2"/>
    <w:rsid w:val="00177D5D"/>
    <w:rPr>
      <w:rFonts w:ascii="Arial" w:eastAsiaTheme="majorEastAsia" w:hAnsi="Arial" w:cstheme="majorBidi"/>
      <w:b/>
      <w:sz w:val="24"/>
      <w:szCs w:val="32"/>
    </w:rPr>
  </w:style>
  <w:style w:type="character" w:customStyle="1" w:styleId="Heading2Char">
    <w:name w:val="Heading 2 Char"/>
    <w:aliases w:val="Gliederungspunkt Char"/>
    <w:basedOn w:val="DefaultParagraphFont"/>
    <w:link w:val="Heading2"/>
    <w:uiPriority w:val="3"/>
    <w:rsid w:val="00177D5D"/>
    <w:rPr>
      <w:rFonts w:ascii="Arial" w:eastAsiaTheme="majorEastAsia" w:hAnsi="Arial" w:cstheme="majorBidi"/>
      <w:b/>
      <w:sz w:val="20"/>
      <w:szCs w:val="32"/>
    </w:rPr>
  </w:style>
  <w:style w:type="character" w:customStyle="1" w:styleId="Heading3Char">
    <w:name w:val="Heading 3 Char"/>
    <w:aliases w:val="Unterpunkt Char"/>
    <w:basedOn w:val="DefaultParagraphFont"/>
    <w:link w:val="Heading3"/>
    <w:uiPriority w:val="4"/>
    <w:rsid w:val="00177D5D"/>
    <w:rPr>
      <w:rFonts w:ascii="Arial" w:eastAsiaTheme="majorEastAsia" w:hAnsi="Arial" w:cstheme="majorBidi"/>
      <w:b/>
      <w:sz w:val="20"/>
      <w:szCs w:val="32"/>
    </w:rPr>
  </w:style>
  <w:style w:type="character" w:customStyle="1" w:styleId="Heading4Char">
    <w:name w:val="Heading 4 Char"/>
    <w:aliases w:val="Detailpunkt Char"/>
    <w:basedOn w:val="DefaultParagraphFont"/>
    <w:link w:val="Heading4"/>
    <w:uiPriority w:val="5"/>
    <w:rsid w:val="00177D5D"/>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03496A"/>
    <w:pPr>
      <w:numPr>
        <w:numId w:val="0"/>
      </w:numPr>
      <w:spacing w:before="240" w:line="259" w:lineRule="auto"/>
      <w:jc w:val="left"/>
      <w:outlineLvl w:val="9"/>
    </w:pPr>
    <w:rPr>
      <w:rFonts w:asciiTheme="majorHAnsi" w:hAnsiTheme="majorHAnsi"/>
      <w:b w:val="0"/>
      <w:color w:val="2E74B5" w:themeColor="accent1" w:themeShade="BF"/>
      <w:sz w:val="32"/>
      <w:lang w:eastAsia="de-DE"/>
    </w:rPr>
  </w:style>
  <w:style w:type="paragraph" w:styleId="TOC2">
    <w:name w:val="toc 2"/>
    <w:basedOn w:val="Normal"/>
    <w:next w:val="Normal"/>
    <w:autoRedefine/>
    <w:uiPriority w:val="39"/>
    <w:unhideWhenUsed/>
    <w:rsid w:val="00B0000E"/>
    <w:pPr>
      <w:tabs>
        <w:tab w:val="left" w:pos="851"/>
        <w:tab w:val="left" w:pos="880"/>
        <w:tab w:val="right" w:leader="dot" w:pos="10320"/>
      </w:tabs>
      <w:spacing w:before="0" w:after="40"/>
      <w:ind w:left="851" w:right="284" w:hanging="851"/>
    </w:pPr>
    <w:rPr>
      <w:rFonts w:eastAsiaTheme="minorEastAsia" w:cs="Times New Roman"/>
      <w:lang w:eastAsia="de-DE"/>
    </w:rPr>
  </w:style>
  <w:style w:type="paragraph" w:styleId="TOC1">
    <w:name w:val="toc 1"/>
    <w:basedOn w:val="Normal"/>
    <w:next w:val="Normal"/>
    <w:autoRedefine/>
    <w:uiPriority w:val="39"/>
    <w:unhideWhenUsed/>
    <w:rsid w:val="00B0000E"/>
    <w:pPr>
      <w:tabs>
        <w:tab w:val="left" w:pos="851"/>
        <w:tab w:val="right" w:leader="dot" w:pos="10320"/>
      </w:tabs>
      <w:spacing w:before="0" w:after="40"/>
      <w:ind w:left="851" w:right="284" w:hanging="851"/>
    </w:pPr>
    <w:rPr>
      <w:rFonts w:eastAsiaTheme="minorEastAsia" w:cs="Times New Roman"/>
      <w:b/>
      <w:sz w:val="24"/>
      <w:szCs w:val="28"/>
      <w:lang w:eastAsia="de-DE"/>
    </w:rPr>
  </w:style>
  <w:style w:type="paragraph" w:styleId="TOC3">
    <w:name w:val="toc 3"/>
    <w:basedOn w:val="Normal"/>
    <w:next w:val="Normal"/>
    <w:autoRedefine/>
    <w:uiPriority w:val="39"/>
    <w:unhideWhenUsed/>
    <w:rsid w:val="00B0000E"/>
    <w:pPr>
      <w:tabs>
        <w:tab w:val="left" w:pos="851"/>
        <w:tab w:val="left" w:pos="1320"/>
        <w:tab w:val="right" w:leader="dot" w:pos="10320"/>
      </w:tabs>
      <w:spacing w:before="0" w:after="40"/>
      <w:ind w:left="851" w:right="284" w:hanging="851"/>
    </w:pPr>
    <w:rPr>
      <w:rFonts w:eastAsiaTheme="minorEastAsia" w:cs="Times New Roman"/>
      <w:lang w:eastAsia="de-DE"/>
    </w:rPr>
  </w:style>
  <w:style w:type="character" w:styleId="Hyperlink">
    <w:name w:val="Hyperlink"/>
    <w:basedOn w:val="DefaultParagraphFont"/>
    <w:uiPriority w:val="99"/>
    <w:unhideWhenUsed/>
    <w:rsid w:val="00561890"/>
    <w:rPr>
      <w:color w:val="0563C1" w:themeColor="hyperlink"/>
      <w:u w:val="single"/>
    </w:rPr>
  </w:style>
  <w:style w:type="paragraph" w:styleId="TOC4">
    <w:name w:val="toc 4"/>
    <w:basedOn w:val="Normal"/>
    <w:next w:val="Normal"/>
    <w:autoRedefine/>
    <w:uiPriority w:val="39"/>
    <w:unhideWhenUsed/>
    <w:rsid w:val="00B0000E"/>
    <w:pPr>
      <w:tabs>
        <w:tab w:val="left" w:pos="851"/>
        <w:tab w:val="left" w:pos="1760"/>
        <w:tab w:val="right" w:leader="dot" w:pos="10320"/>
      </w:tabs>
      <w:spacing w:before="0" w:after="40"/>
      <w:ind w:left="851" w:right="284" w:hanging="851"/>
    </w:pPr>
  </w:style>
  <w:style w:type="table" w:styleId="TableGrid">
    <w:name w:val="Table Grid"/>
    <w:basedOn w:val="TableNormal"/>
    <w:uiPriority w:val="39"/>
    <w:rsid w:val="009E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B245A"/>
  </w:style>
  <w:style w:type="paragraph" w:customStyle="1" w:styleId="TabellentextinFuzeile">
    <w:name w:val="Tabellentext in Fußzeile"/>
    <w:basedOn w:val="Normal"/>
    <w:link w:val="TabellentextinFuzeileZchn"/>
    <w:semiHidden/>
    <w:unhideWhenUsed/>
    <w:qFormat/>
    <w:rsid w:val="00961819"/>
    <w:pPr>
      <w:framePr w:hSpace="142" w:wrap="around" w:vAnchor="page" w:hAnchor="page" w:x="285" w:y="15446"/>
      <w:spacing w:before="60" w:line="156" w:lineRule="exact"/>
      <w:ind w:left="40" w:right="57"/>
      <w:suppressOverlap/>
      <w:jc w:val="center"/>
    </w:pPr>
    <w:rPr>
      <w:color w:val="636466"/>
      <w:sz w:val="14"/>
    </w:rPr>
  </w:style>
  <w:style w:type="character" w:customStyle="1" w:styleId="TabellentextinFuzeileZchn">
    <w:name w:val="Tabellentext in Fußzeile Zchn"/>
    <w:basedOn w:val="DefaultParagraphFont"/>
    <w:link w:val="TabellentextinFuzeile"/>
    <w:semiHidden/>
    <w:rsid w:val="00174351"/>
    <w:rPr>
      <w:rFonts w:ascii="Arial" w:hAnsi="Arial"/>
      <w:color w:val="636466"/>
      <w:sz w:val="14"/>
    </w:rPr>
  </w:style>
  <w:style w:type="character" w:styleId="Strong">
    <w:name w:val="Strong"/>
    <w:basedOn w:val="DefaultParagraphFont"/>
    <w:uiPriority w:val="14"/>
    <w:qFormat/>
    <w:rsid w:val="00144CEA"/>
    <w:rPr>
      <w:b/>
      <w:bCs/>
    </w:rPr>
  </w:style>
  <w:style w:type="paragraph" w:customStyle="1" w:styleId="AmazoneKopfzeile">
    <w:name w:val="AmazoneKopfzeile"/>
    <w:basedOn w:val="Normal"/>
    <w:link w:val="AmazoneKopfzeileZchn"/>
    <w:uiPriority w:val="8"/>
    <w:qFormat/>
    <w:rsid w:val="008404AE"/>
    <w:pPr>
      <w:spacing w:before="0" w:line="276" w:lineRule="auto"/>
      <w:jc w:val="right"/>
    </w:pPr>
    <w:rPr>
      <w:rFonts w:eastAsia="Arial" w:cs="Arial"/>
      <w:color w:val="636466"/>
      <w:sz w:val="32"/>
    </w:rPr>
  </w:style>
  <w:style w:type="character" w:customStyle="1" w:styleId="AmazoneKopfzeileZchn">
    <w:name w:val="AmazoneKopfzeile Zchn"/>
    <w:basedOn w:val="DefaultParagraphFont"/>
    <w:link w:val="AmazoneKopfzeile"/>
    <w:uiPriority w:val="8"/>
    <w:rsid w:val="00AA2EB1"/>
    <w:rPr>
      <w:rFonts w:ascii="Arial" w:eastAsia="Arial" w:hAnsi="Arial" w:cs="Arial"/>
      <w:color w:val="636466"/>
      <w:sz w:val="32"/>
    </w:rPr>
  </w:style>
  <w:style w:type="paragraph" w:customStyle="1" w:styleId="AmazoneFuzeile">
    <w:name w:val="AmazoneFußzeile"/>
    <w:basedOn w:val="Footer"/>
    <w:link w:val="AmazoneFuzeileZchn"/>
    <w:uiPriority w:val="8"/>
    <w:qFormat/>
    <w:rsid w:val="00387D21"/>
    <w:pPr>
      <w:framePr w:hSpace="142" w:wrap="around" w:vAnchor="page" w:hAnchor="page" w:x="285" w:y="15446"/>
      <w:spacing w:before="0" w:line="240" w:lineRule="auto"/>
      <w:suppressOverlap/>
      <w:jc w:val="center"/>
    </w:pPr>
    <w:rPr>
      <w:color w:val="636466"/>
      <w:sz w:val="18"/>
      <w:szCs w:val="18"/>
    </w:rPr>
  </w:style>
  <w:style w:type="character" w:customStyle="1" w:styleId="AmazoneFuzeileZchn">
    <w:name w:val="AmazoneFußzeile Zchn"/>
    <w:basedOn w:val="FooterChar"/>
    <w:link w:val="AmazoneFuzeile"/>
    <w:uiPriority w:val="8"/>
    <w:rsid w:val="00AE0858"/>
    <w:rPr>
      <w:rFonts w:ascii="Arial" w:hAnsi="Arial"/>
      <w:color w:val="636466"/>
      <w:sz w:val="18"/>
      <w:szCs w:val="18"/>
    </w:rPr>
  </w:style>
  <w:style w:type="character" w:customStyle="1" w:styleId="Heading5Char">
    <w:name w:val="Heading 5 Char"/>
    <w:aliases w:val="Anhänge Char"/>
    <w:basedOn w:val="DefaultParagraphFont"/>
    <w:link w:val="Heading5"/>
    <w:uiPriority w:val="6"/>
    <w:rsid w:val="00FE24FA"/>
    <w:rPr>
      <w:rFonts w:ascii="Arial" w:eastAsiaTheme="minorEastAsia" w:hAnsi="Arial" w:cs="Times New Roman"/>
      <w:b/>
      <w:sz w:val="24"/>
      <w:szCs w:val="28"/>
      <w:lang w:eastAsia="de-DE"/>
    </w:rPr>
  </w:style>
  <w:style w:type="paragraph" w:styleId="TOC5">
    <w:name w:val="toc 5"/>
    <w:basedOn w:val="TOC1"/>
    <w:next w:val="Normal"/>
    <w:autoRedefine/>
    <w:uiPriority w:val="39"/>
    <w:unhideWhenUsed/>
    <w:rsid w:val="004C1FFD"/>
    <w:pPr>
      <w:ind w:left="1588" w:hanging="1588"/>
    </w:pPr>
  </w:style>
  <w:style w:type="paragraph" w:customStyle="1" w:styleId="Einleitung">
    <w:name w:val="Einleitung"/>
    <w:link w:val="EinleitungZchn"/>
    <w:uiPriority w:val="7"/>
    <w:qFormat/>
    <w:rsid w:val="00A1620B"/>
    <w:pPr>
      <w:spacing w:after="0" w:line="312" w:lineRule="auto"/>
    </w:pPr>
    <w:rPr>
      <w:rFonts w:ascii="Arial" w:eastAsiaTheme="minorEastAsia" w:hAnsi="Arial" w:cs="Times New Roman"/>
      <w:b/>
      <w:sz w:val="24"/>
      <w:szCs w:val="28"/>
      <w:lang w:eastAsia="de-DE"/>
    </w:rPr>
  </w:style>
  <w:style w:type="character" w:customStyle="1" w:styleId="EinleitungZchn">
    <w:name w:val="Einleitung Zchn"/>
    <w:basedOn w:val="DefaultParagraphFont"/>
    <w:link w:val="Einleitung"/>
    <w:uiPriority w:val="7"/>
    <w:rsid w:val="00A1620B"/>
    <w:rPr>
      <w:rFonts w:ascii="Arial" w:eastAsiaTheme="minorEastAsia" w:hAnsi="Arial" w:cs="Times New Roman"/>
      <w:b/>
      <w:sz w:val="24"/>
      <w:szCs w:val="28"/>
      <w:lang w:eastAsia="de-DE"/>
    </w:rPr>
  </w:style>
  <w:style w:type="table" w:customStyle="1" w:styleId="AmazoneWerkNormTabelle">
    <w:name w:val="AmazoneWerkNorm_Tabelle"/>
    <w:basedOn w:val="TableNormal"/>
    <w:uiPriority w:val="99"/>
    <w:rsid w:val="0025069F"/>
    <w:pPr>
      <w:spacing w:after="0" w:line="240" w:lineRule="auto"/>
    </w:pPr>
    <w:rPr>
      <w:rFonts w:ascii="Arial" w:hAnsi="Arial"/>
      <w:sz w:val="20"/>
    </w:rPr>
    <w:tblPr>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rPr>
      <w:jc w:val="center"/>
    </w:trPr>
    <w:tcPr>
      <w:shd w:val="clear" w:color="auto" w:fill="F2F2F2" w:themeFill="background1" w:themeFillShade="F2"/>
      <w:vAlign w:val="center"/>
    </w:tcPr>
    <w:tblStylePr w:type="firstRow">
      <w:rPr>
        <w:rFonts w:ascii="Arial" w:hAnsi="Arial"/>
        <w:b/>
        <w:sz w:val="24"/>
      </w:rPr>
      <w:tblPr/>
      <w:tcPr>
        <w:shd w:val="clear" w:color="auto" w:fill="D5DCE4" w:themeFill="text2" w:themeFillTint="33"/>
      </w:tcPr>
    </w:tblStylePr>
    <w:tblStylePr w:type="firstCol">
      <w:rPr>
        <w:rFonts w:ascii="Arial" w:hAnsi="Arial"/>
        <w:b/>
        <w:sz w:val="24"/>
      </w:rPr>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ey\Desktop\Vorlage_Werknorm_nur_Hoch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08156-546C-4E88-AC78-27BB44A8E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Vorlage_Werknorm_nur_Hochformat.dotx</Template>
  <TotalTime>0</TotalTime>
  <Pages>11</Pages>
  <Words>2237</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Amazonen-Werke H. Dreyer GmbH &amp; Co. KG</Company>
  <LinksUpToDate>false</LinksUpToDate>
  <CharactersWithSpaces>14965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Weyers Guido</dc:creator>
  <cp:keywords/>
  <dc:description/>
  <cp:lastModifiedBy>Brown Simon</cp:lastModifiedBy>
  <cp:revision>4</cp:revision>
  <dcterms:created xsi:type="dcterms:W3CDTF">2023-04-27T08:49:00Z</dcterms:created>
  <dcterms:modified xsi:type="dcterms:W3CDTF">2023-04-27T08:50:00Z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1112627947</vt:i4>
  </property>
  <property fmtid="{D5CDD505-2E9C-101B-9397-08002B2CF9AE}" pid="3" name="_NewReviewCycle">
    <vt:lpwstr/>
  </property>
  <property fmtid="{D5CDD505-2E9C-101B-9397-08002B2CF9AE}" pid="4" name="_EmailSubject">
    <vt:lpwstr>Cereals Event Pressemiteillung</vt:lpwstr>
  </property>
  <property fmtid="{D5CDD505-2E9C-101B-9397-08002B2CF9AE}" pid="5" name="_AuthorEmail">
    <vt:lpwstr>Simon.Brown@amazone.co.uk</vt:lpwstr>
  </property>
  <property fmtid="{D5CDD505-2E9C-101B-9397-08002B2CF9AE}" pid="6" name="_AuthorEmailDisplayName">
    <vt:lpwstr>Brown Simon</vt:lpwstr>
  </property>
</Properties>
</file>