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1FE3" w:rsidRDefault="00E8183B" w:rsidP="000E3F49">
      <w:pPr>
        <w:spacing w:after="120" w:line="360" w:lineRule="auto"/>
        <w:ind w:left="567" w:right="1695"/>
        <w:rPr>
          <w:rFonts w:ascii="Arial" w:hAnsi="Arial" w:cs="Arial"/>
          <w:b/>
          <w:bCs/>
          <w:sz w:val="28"/>
          <w:szCs w:val="28"/>
        </w:rPr>
      </w:pPr>
      <w:r>
        <w:rPr>
          <w:rFonts w:ascii="Arial" w:hAnsi="Arial"/>
          <w:b/>
          <w:sz w:val="28"/>
        </w:rPr>
        <w:t xml:space="preserve">Semoir </w:t>
      </w:r>
      <w:proofErr w:type="spellStart"/>
      <w:r>
        <w:rPr>
          <w:rFonts w:ascii="Arial" w:hAnsi="Arial"/>
          <w:b/>
          <w:sz w:val="28"/>
        </w:rPr>
        <w:t>monograine</w:t>
      </w:r>
      <w:proofErr w:type="spellEnd"/>
      <w:r>
        <w:rPr>
          <w:rFonts w:ascii="Arial" w:hAnsi="Arial"/>
          <w:b/>
          <w:sz w:val="28"/>
        </w:rPr>
        <w:t xml:space="preserve"> traîné </w:t>
      </w:r>
      <w:proofErr w:type="spellStart"/>
      <w:r>
        <w:rPr>
          <w:rFonts w:ascii="Arial" w:hAnsi="Arial"/>
          <w:b/>
          <w:sz w:val="28"/>
        </w:rPr>
        <w:t>Precea</w:t>
      </w:r>
      <w:proofErr w:type="spellEnd"/>
      <w:r>
        <w:rPr>
          <w:rFonts w:ascii="Arial" w:hAnsi="Arial"/>
          <w:b/>
          <w:sz w:val="28"/>
        </w:rPr>
        <w:t>-TCC AMAZONE</w:t>
      </w:r>
    </w:p>
    <w:p w:rsidR="004A4E71" w:rsidRDefault="004A4E71" w:rsidP="00921FE3">
      <w:pPr>
        <w:spacing w:after="120" w:line="360" w:lineRule="auto"/>
        <w:ind w:left="567" w:right="1695"/>
        <w:rPr>
          <w:rFonts w:ascii="Arial" w:eastAsia="Arial" w:hAnsi="Arial" w:cs="Arial"/>
        </w:rPr>
      </w:pPr>
    </w:p>
    <w:p w:rsidR="0040101A" w:rsidRPr="000E2222" w:rsidRDefault="00E31AA0" w:rsidP="0040101A">
      <w:pPr>
        <w:spacing w:after="120" w:line="360" w:lineRule="auto"/>
        <w:ind w:left="567" w:right="1695"/>
        <w:rPr>
          <w:rFonts w:ascii="Arial" w:hAnsi="Arial" w:cs="Arial"/>
          <w:bCs/>
        </w:rPr>
      </w:pPr>
      <w:r>
        <w:rPr>
          <w:rFonts w:ascii="Arial" w:hAnsi="Arial"/>
        </w:rPr>
        <w:t xml:space="preserve">AMAZONE élargit sa gamme de semis </w:t>
      </w:r>
      <w:proofErr w:type="spellStart"/>
      <w:r>
        <w:rPr>
          <w:rFonts w:ascii="Arial" w:hAnsi="Arial"/>
        </w:rPr>
        <w:t>monograine</w:t>
      </w:r>
      <w:proofErr w:type="spellEnd"/>
      <w:r>
        <w:rPr>
          <w:rFonts w:ascii="Arial" w:hAnsi="Arial"/>
        </w:rPr>
        <w:t xml:space="preserve"> avec les modèles traînés </w:t>
      </w:r>
      <w:proofErr w:type="spellStart"/>
      <w:r>
        <w:rPr>
          <w:rFonts w:ascii="Arial" w:hAnsi="Arial"/>
        </w:rPr>
        <w:t>Precea</w:t>
      </w:r>
      <w:proofErr w:type="spellEnd"/>
      <w:r>
        <w:rPr>
          <w:rFonts w:ascii="Arial" w:hAnsi="Arial"/>
        </w:rPr>
        <w:t xml:space="preserve"> 9000-TCC et 12000-TCC, en largeurs de travail 9 et 12 m. Cette variante spécialement conçue pour les entrepreneurs agricoles et les grandes exploitations impressionne par sa sélection en surpression performante, ses grands volumes de trémie et son système novateur d’alimentation de la semence via une trémie centralisée Central </w:t>
      </w:r>
      <w:proofErr w:type="spellStart"/>
      <w:r>
        <w:rPr>
          <w:rFonts w:ascii="Arial" w:hAnsi="Arial"/>
        </w:rPr>
        <w:t>Seed</w:t>
      </w:r>
      <w:proofErr w:type="spellEnd"/>
      <w:r>
        <w:rPr>
          <w:rFonts w:ascii="Arial" w:hAnsi="Arial"/>
        </w:rPr>
        <w:t xml:space="preserve"> </w:t>
      </w:r>
      <w:proofErr w:type="spellStart"/>
      <w:r>
        <w:rPr>
          <w:rFonts w:ascii="Arial" w:hAnsi="Arial"/>
        </w:rPr>
        <w:t>Supply</w:t>
      </w:r>
      <w:proofErr w:type="spellEnd"/>
      <w:r>
        <w:rPr>
          <w:rFonts w:ascii="Arial" w:hAnsi="Arial"/>
        </w:rPr>
        <w:t xml:space="preserve">. L’implantation très précise de la semence garantit des levées de qualité, même à des vitesses de travail élevées jusqu’à 15 km/h. </w:t>
      </w:r>
    </w:p>
    <w:p w:rsidR="0062417D" w:rsidRDefault="0062417D" w:rsidP="004A4E71">
      <w:pPr>
        <w:spacing w:after="120" w:line="360" w:lineRule="auto"/>
        <w:ind w:left="567" w:right="1695"/>
        <w:rPr>
          <w:rFonts w:ascii="Arial" w:hAnsi="Arial" w:cs="Arial"/>
          <w:bCs/>
        </w:rPr>
      </w:pPr>
    </w:p>
    <w:p w:rsidR="00E31AA0" w:rsidRPr="00E31AA0" w:rsidRDefault="004F4104" w:rsidP="00E31AA0">
      <w:pPr>
        <w:spacing w:after="120" w:line="360" w:lineRule="auto"/>
        <w:ind w:left="567" w:right="1695"/>
        <w:rPr>
          <w:rFonts w:ascii="Arial" w:hAnsi="Arial" w:cs="Arial"/>
          <w:b/>
          <w:bCs/>
        </w:rPr>
      </w:pPr>
      <w:r>
        <w:rPr>
          <w:rFonts w:ascii="Arial" w:hAnsi="Arial"/>
          <w:b/>
        </w:rPr>
        <w:t>Concept avec trémie centralisée ‒ sélection par rang</w:t>
      </w:r>
    </w:p>
    <w:p w:rsidR="00E31AA0" w:rsidRDefault="00445358" w:rsidP="00E861A2">
      <w:pPr>
        <w:spacing w:after="120" w:line="360" w:lineRule="auto"/>
        <w:ind w:left="567" w:right="1695"/>
        <w:rPr>
          <w:rFonts w:ascii="Arial" w:hAnsi="Arial" w:cs="Arial"/>
          <w:bCs/>
        </w:rPr>
      </w:pPr>
      <w:r>
        <w:rPr>
          <w:rFonts w:ascii="Arial" w:hAnsi="Arial"/>
        </w:rPr>
        <w:t xml:space="preserve">Pour un débit de chantier particulièrement élevé et un remplissage rapide, les nouveaux </w:t>
      </w:r>
      <w:proofErr w:type="spellStart"/>
      <w:r>
        <w:rPr>
          <w:rFonts w:ascii="Arial" w:hAnsi="Arial"/>
        </w:rPr>
        <w:t>Precea</w:t>
      </w:r>
      <w:proofErr w:type="spellEnd"/>
      <w:r>
        <w:rPr>
          <w:rFonts w:ascii="Arial" w:hAnsi="Arial"/>
        </w:rPr>
        <w:t xml:space="preserve">-TCC sont équipés d’une trémie centralisée de semence qui peut contenir jusqu'à deux </w:t>
      </w:r>
      <w:proofErr w:type="spellStart"/>
      <w:r>
        <w:rPr>
          <w:rFonts w:ascii="Arial" w:hAnsi="Arial"/>
        </w:rPr>
        <w:t>bigbags</w:t>
      </w:r>
      <w:proofErr w:type="spellEnd"/>
      <w:r>
        <w:rPr>
          <w:rFonts w:ascii="Arial" w:hAnsi="Arial"/>
        </w:rPr>
        <w:t xml:space="preserve"> avec ses 2 000 l. Avec le nouveau système d’alimentation Central </w:t>
      </w:r>
      <w:proofErr w:type="spellStart"/>
      <w:r>
        <w:rPr>
          <w:rFonts w:ascii="Arial" w:hAnsi="Arial"/>
        </w:rPr>
        <w:t>Seed</w:t>
      </w:r>
      <w:proofErr w:type="spellEnd"/>
      <w:r>
        <w:rPr>
          <w:rFonts w:ascii="Arial" w:hAnsi="Arial"/>
        </w:rPr>
        <w:t xml:space="preserve"> </w:t>
      </w:r>
      <w:proofErr w:type="spellStart"/>
      <w:r>
        <w:rPr>
          <w:rFonts w:ascii="Arial" w:hAnsi="Arial"/>
        </w:rPr>
        <w:t>Supply</w:t>
      </w:r>
      <w:proofErr w:type="spellEnd"/>
      <w:r>
        <w:rPr>
          <w:rFonts w:ascii="Arial" w:hAnsi="Arial"/>
        </w:rPr>
        <w:t xml:space="preserve">, la semence est acheminée par un flux d'air, de la trémie centrale vers les éléments semeurs. La semence y est stockée temporairement par rang dans une petite trémie intermédiaire. Lorsque le </w:t>
      </w:r>
      <w:proofErr w:type="gramStart"/>
      <w:r>
        <w:rPr>
          <w:rFonts w:ascii="Arial" w:hAnsi="Arial"/>
        </w:rPr>
        <w:t>niveau</w:t>
      </w:r>
      <w:proofErr w:type="gramEnd"/>
      <w:r>
        <w:rPr>
          <w:rFonts w:ascii="Arial" w:hAnsi="Arial"/>
        </w:rPr>
        <w:t xml:space="preserve"> de remplissage maximal est atteint dans cette trémie intermédiaire, le flux d’air et donc l’alimentation sont interrompus automatiquement. Lorsque le niveau de remplissage diminue, le flux d’air se remet en marche automatiquement et alimente la semence de la trémie principale vers les différents rangs. Grâce à cette gestion du système d’air Central </w:t>
      </w:r>
      <w:proofErr w:type="spellStart"/>
      <w:r>
        <w:rPr>
          <w:rFonts w:ascii="Arial" w:hAnsi="Arial"/>
        </w:rPr>
        <w:t>Seed</w:t>
      </w:r>
      <w:proofErr w:type="spellEnd"/>
      <w:r>
        <w:rPr>
          <w:rFonts w:ascii="Arial" w:hAnsi="Arial"/>
        </w:rPr>
        <w:t xml:space="preserve"> </w:t>
      </w:r>
      <w:proofErr w:type="spellStart"/>
      <w:r>
        <w:rPr>
          <w:rFonts w:ascii="Arial" w:hAnsi="Arial"/>
        </w:rPr>
        <w:t>Supply</w:t>
      </w:r>
      <w:proofErr w:type="spellEnd"/>
      <w:r>
        <w:rPr>
          <w:rFonts w:ascii="Arial" w:hAnsi="Arial"/>
        </w:rPr>
        <w:t xml:space="preserve">, chaque élément semeur est alimenté en semence de façon indépendante, sans que le système dépende d’un capteur ou d’une commande électronique. </w:t>
      </w:r>
    </w:p>
    <w:p w:rsidR="002037C7" w:rsidRPr="00E31AA0" w:rsidRDefault="002037C7" w:rsidP="00E861A2">
      <w:pPr>
        <w:spacing w:after="120" w:line="360" w:lineRule="auto"/>
        <w:ind w:left="567" w:right="1695"/>
        <w:rPr>
          <w:rFonts w:ascii="Arial" w:hAnsi="Arial" w:cs="Arial"/>
          <w:bCs/>
        </w:rPr>
      </w:pPr>
    </w:p>
    <w:p w:rsidR="000E2222" w:rsidRPr="000E2222" w:rsidRDefault="00937D2B" w:rsidP="000E2222">
      <w:pPr>
        <w:spacing w:after="120" w:line="360" w:lineRule="auto"/>
        <w:ind w:left="567" w:right="1695"/>
        <w:rPr>
          <w:rFonts w:ascii="Arial" w:hAnsi="Arial" w:cs="Arial"/>
          <w:b/>
          <w:bCs/>
        </w:rPr>
      </w:pPr>
      <w:r>
        <w:rPr>
          <w:rFonts w:ascii="Arial" w:hAnsi="Arial"/>
          <w:b/>
        </w:rPr>
        <w:t>Sélection précise sur chaque rang</w:t>
      </w:r>
    </w:p>
    <w:p w:rsidR="00555631" w:rsidRPr="00233153" w:rsidRDefault="000E2222" w:rsidP="00555631">
      <w:pPr>
        <w:spacing w:after="120" w:line="360" w:lineRule="auto"/>
        <w:ind w:left="567" w:right="1695"/>
        <w:rPr>
          <w:rFonts w:ascii="Arial" w:hAnsi="Arial" w:cs="Arial"/>
          <w:bCs/>
        </w:rPr>
      </w:pPr>
      <w:r>
        <w:rPr>
          <w:rFonts w:ascii="Arial" w:hAnsi="Arial"/>
        </w:rPr>
        <w:t xml:space="preserve">Pour la sélection de la semence, AMAZONE mise sur ses unités de sélection </w:t>
      </w:r>
      <w:proofErr w:type="spellStart"/>
      <w:r>
        <w:rPr>
          <w:rFonts w:ascii="Arial" w:hAnsi="Arial"/>
        </w:rPr>
        <w:t>PreTeC</w:t>
      </w:r>
      <w:proofErr w:type="spellEnd"/>
      <w:r>
        <w:rPr>
          <w:rFonts w:ascii="Arial" w:hAnsi="Arial"/>
        </w:rPr>
        <w:t xml:space="preserve"> ultra précises qui travaillent avec le principe de surpression. La </w:t>
      </w:r>
      <w:r>
        <w:rPr>
          <w:rFonts w:ascii="Arial" w:hAnsi="Arial"/>
        </w:rPr>
        <w:lastRenderedPageBreak/>
        <w:t xml:space="preserve">semence est alors poussée avec de l’air comprimé sur le disque de sélection. </w:t>
      </w:r>
      <w:r w:rsidRPr="00423D92">
        <w:rPr>
          <w:rFonts w:ascii="Arial" w:hAnsi="Arial"/>
        </w:rPr>
        <w:t xml:space="preserve">Le joint d’étanchéité tourne avec le disque de sélection, garantissant une nette réduction de la puissance absorbée par les entraînements électriques pour chaque rang. </w:t>
      </w:r>
      <w:r>
        <w:rPr>
          <w:rFonts w:ascii="Arial" w:hAnsi="Arial"/>
        </w:rPr>
        <w:t>Le réglage des sélecteurs est automatique (</w:t>
      </w:r>
      <w:proofErr w:type="spellStart"/>
      <w:r>
        <w:rPr>
          <w:rFonts w:ascii="Arial" w:hAnsi="Arial"/>
        </w:rPr>
        <w:t>SmartControl</w:t>
      </w:r>
      <w:proofErr w:type="spellEnd"/>
      <w:r>
        <w:rPr>
          <w:rFonts w:ascii="Arial" w:hAnsi="Arial"/>
        </w:rPr>
        <w:t xml:space="preserve">), couplé aux capteurs optiques, et empêche efficacement les vides et les doublons. Le disque de sélection entraîné électriquement tourne en fonction de la vitesse d’avancement et du débit de semis souhaité et achemine la semence vers la canule d’expulsion. À ce stade, la pression appliquée est interrompue et la graine est expulsée avec précision dans le sillon de semis, puis stoppée par la roulette de réception et placée en toute sécurité. </w:t>
      </w:r>
    </w:p>
    <w:p w:rsidR="00E51E97" w:rsidRPr="00233153" w:rsidRDefault="00C452B5" w:rsidP="00DD0208">
      <w:pPr>
        <w:spacing w:after="120" w:line="360" w:lineRule="auto"/>
        <w:ind w:left="567" w:right="1695"/>
        <w:rPr>
          <w:rFonts w:ascii="Arial" w:hAnsi="Arial" w:cs="Arial"/>
          <w:bCs/>
        </w:rPr>
      </w:pPr>
      <w:r>
        <w:rPr>
          <w:rFonts w:ascii="Arial" w:hAnsi="Arial"/>
        </w:rPr>
        <w:t xml:space="preserve">Le disque ouvreur assure une implantation précise de la semence. Deux roues d’appui et la pression de terrage réglable hydrauliquement en hauteur garantissent un guidage homogène en profondeur. Pour un confort encore renforcé, AMAZONE propose la régulation automatique de pression de terrage </w:t>
      </w:r>
      <w:proofErr w:type="spellStart"/>
      <w:r>
        <w:rPr>
          <w:rFonts w:ascii="Arial" w:hAnsi="Arial"/>
        </w:rPr>
        <w:t>SmartForce</w:t>
      </w:r>
      <w:proofErr w:type="spellEnd"/>
      <w:r>
        <w:rPr>
          <w:rFonts w:ascii="Arial" w:hAnsi="Arial"/>
        </w:rPr>
        <w:t xml:space="preserve">. Elle assure un respect constant de la force d’appui et donc une implantation homogène de la semence, en particulier également dans des conditions de sol hétérogènes. </w:t>
      </w:r>
    </w:p>
    <w:p w:rsidR="000E2222" w:rsidRPr="00817294" w:rsidRDefault="00B554E1" w:rsidP="00822A57">
      <w:pPr>
        <w:spacing w:after="120" w:line="360" w:lineRule="auto"/>
        <w:ind w:left="567" w:right="1695"/>
        <w:rPr>
          <w:rFonts w:ascii="Arial" w:hAnsi="Arial" w:cs="Arial"/>
          <w:bCs/>
        </w:rPr>
      </w:pPr>
      <w:r>
        <w:rPr>
          <w:rFonts w:ascii="Arial" w:hAnsi="Arial"/>
        </w:rPr>
        <w:t xml:space="preserve">L’entraînement électrique de distribution </w:t>
      </w:r>
      <w:proofErr w:type="spellStart"/>
      <w:r>
        <w:rPr>
          <w:rFonts w:ascii="Arial" w:hAnsi="Arial"/>
        </w:rPr>
        <w:t>ElectricDrive</w:t>
      </w:r>
      <w:proofErr w:type="spellEnd"/>
      <w:r>
        <w:rPr>
          <w:rFonts w:ascii="Arial" w:hAnsi="Arial"/>
        </w:rPr>
        <w:t xml:space="preserve"> permet de régler très confortablement le débit souhaité sur le terminal ISOBUS. Il est à l’origine du respect exact de la régulation de débit spécifique à la surface parcellaire par GPS et carte de zones de champ. Par ailleurs, surtout sur les grandes largeurs de travail, GPS-</w:t>
      </w:r>
      <w:proofErr w:type="spellStart"/>
      <w:r>
        <w:rPr>
          <w:rFonts w:ascii="Arial" w:hAnsi="Arial"/>
        </w:rPr>
        <w:t>SectionControl</w:t>
      </w:r>
      <w:proofErr w:type="spellEnd"/>
      <w:r>
        <w:rPr>
          <w:rFonts w:ascii="Arial" w:hAnsi="Arial"/>
        </w:rPr>
        <w:t xml:space="preserve"> permet une économie active de la semence par rang sur les pointes et en fourrière et offre par exemple les meilleures conditions pour lutter mécaniquement contre les adventices avec une bineuse. </w:t>
      </w:r>
    </w:p>
    <w:p w:rsidR="00F919CD" w:rsidRDefault="00F919CD" w:rsidP="000E2222">
      <w:pPr>
        <w:spacing w:after="120" w:line="360" w:lineRule="auto"/>
        <w:ind w:left="567" w:right="1695"/>
        <w:rPr>
          <w:rFonts w:ascii="Arial" w:hAnsi="Arial" w:cs="Arial"/>
          <w:bCs/>
        </w:rPr>
      </w:pPr>
    </w:p>
    <w:p w:rsidR="00277310" w:rsidRPr="0024657A" w:rsidRDefault="00277310" w:rsidP="00277310">
      <w:pPr>
        <w:spacing w:after="120" w:line="360" w:lineRule="auto"/>
        <w:ind w:left="567" w:right="1695"/>
        <w:rPr>
          <w:rFonts w:ascii="Arial" w:hAnsi="Arial" w:cs="Arial"/>
          <w:b/>
          <w:bCs/>
        </w:rPr>
      </w:pPr>
      <w:r>
        <w:rPr>
          <w:rFonts w:ascii="Arial" w:hAnsi="Arial"/>
          <w:b/>
        </w:rPr>
        <w:t xml:space="preserve">Implantation optimisée de la semence dans les virages </w:t>
      </w:r>
    </w:p>
    <w:p w:rsidR="00277310" w:rsidRPr="006625A2" w:rsidRDefault="00CD318D" w:rsidP="00277310">
      <w:pPr>
        <w:spacing w:after="120" w:line="360" w:lineRule="auto"/>
        <w:ind w:left="567" w:right="1695"/>
        <w:rPr>
          <w:rFonts w:ascii="Arial" w:hAnsi="Arial" w:cs="Arial"/>
          <w:bCs/>
        </w:rPr>
      </w:pPr>
      <w:r>
        <w:rPr>
          <w:rFonts w:ascii="Arial" w:hAnsi="Arial"/>
        </w:rPr>
        <w:t xml:space="preserve">L’entraînement électrique individuel de rang permet, même dans les virages, de conserver des écarts d’implantation constants sur toute la grande largeur de travail. Un capteur de taux de lacet détermine la différence entre la vitesse d'avancement à l'intérieur et à l'extérieur du virage. Sur cette base, le tout </w:t>
      </w:r>
      <w:r>
        <w:rPr>
          <w:rFonts w:ascii="Arial" w:hAnsi="Arial"/>
        </w:rPr>
        <w:lastRenderedPageBreak/>
        <w:t xml:space="preserve">nouveau </w:t>
      </w:r>
      <w:proofErr w:type="spellStart"/>
      <w:r>
        <w:rPr>
          <w:rFonts w:ascii="Arial" w:hAnsi="Arial"/>
        </w:rPr>
        <w:t>CurveControl</w:t>
      </w:r>
      <w:proofErr w:type="spellEnd"/>
      <w:r>
        <w:rPr>
          <w:rFonts w:ascii="Arial" w:hAnsi="Arial"/>
        </w:rPr>
        <w:t xml:space="preserve"> ajuste les régimes des disques de sélection en fonction, de façon à ce que les écarts de semence restent identiques, même dans les virages. Des écarts homogènes garantissent un apport suffisant en substances nutritives. Ainsi les cultures sont homogènes et la maturité identique.</w:t>
      </w:r>
    </w:p>
    <w:p w:rsidR="00277310" w:rsidRDefault="00277310" w:rsidP="000E2222">
      <w:pPr>
        <w:spacing w:after="120" w:line="360" w:lineRule="auto"/>
        <w:ind w:left="567" w:right="1695"/>
        <w:rPr>
          <w:rFonts w:ascii="Arial" w:hAnsi="Arial" w:cs="Arial"/>
          <w:bCs/>
        </w:rPr>
      </w:pPr>
    </w:p>
    <w:p w:rsidR="00F919CD" w:rsidRPr="00F919CD" w:rsidRDefault="003C3A59" w:rsidP="000E2222">
      <w:pPr>
        <w:spacing w:after="120" w:line="360" w:lineRule="auto"/>
        <w:ind w:left="567" w:right="1695"/>
        <w:rPr>
          <w:rFonts w:ascii="Arial" w:hAnsi="Arial" w:cs="Arial"/>
          <w:b/>
          <w:bCs/>
        </w:rPr>
      </w:pPr>
      <w:r>
        <w:rPr>
          <w:rFonts w:ascii="Arial" w:hAnsi="Arial"/>
          <w:b/>
        </w:rPr>
        <w:t>Trémie deux compartiments pour l’engrais</w:t>
      </w:r>
    </w:p>
    <w:p w:rsidR="00F919CD" w:rsidRDefault="00E10E02" w:rsidP="000E2222">
      <w:pPr>
        <w:spacing w:after="120" w:line="360" w:lineRule="auto"/>
        <w:ind w:left="567" w:right="1695"/>
        <w:rPr>
          <w:rFonts w:ascii="Arial" w:hAnsi="Arial" w:cs="Arial"/>
          <w:bCs/>
        </w:rPr>
      </w:pPr>
      <w:r>
        <w:rPr>
          <w:rFonts w:ascii="Arial" w:hAnsi="Arial"/>
        </w:rPr>
        <w:t xml:space="preserve">Pour un apport simultané d’engrais, le </w:t>
      </w:r>
      <w:proofErr w:type="spellStart"/>
      <w:r>
        <w:rPr>
          <w:rFonts w:ascii="Arial" w:hAnsi="Arial"/>
        </w:rPr>
        <w:t>Precea</w:t>
      </w:r>
      <w:proofErr w:type="spellEnd"/>
      <w:r>
        <w:rPr>
          <w:rFonts w:ascii="Arial" w:hAnsi="Arial"/>
        </w:rPr>
        <w:t xml:space="preserve">-TCC est équipé d’une trémie deux compartiments bien accessible qui offre une capacité globale de 6 000 l. Chaque compartiment est doté de sa propre unité de distribution électrique, respectivement couplée à une tête de distribution, mettant ainsi à disposition en standard une coupure unilatérale. L’apport d’engrais se fait par le </w:t>
      </w:r>
      <w:proofErr w:type="spellStart"/>
      <w:r>
        <w:rPr>
          <w:rFonts w:ascii="Arial" w:hAnsi="Arial"/>
        </w:rPr>
        <w:t>FerTeC</w:t>
      </w:r>
      <w:proofErr w:type="spellEnd"/>
      <w:r>
        <w:rPr>
          <w:rFonts w:ascii="Arial" w:hAnsi="Arial"/>
        </w:rPr>
        <w:t xml:space="preserve"> </w:t>
      </w:r>
      <w:proofErr w:type="spellStart"/>
      <w:r>
        <w:rPr>
          <w:rFonts w:ascii="Arial" w:hAnsi="Arial"/>
        </w:rPr>
        <w:t>twin</w:t>
      </w:r>
      <w:proofErr w:type="spellEnd"/>
      <w:r>
        <w:rPr>
          <w:rFonts w:ascii="Arial" w:hAnsi="Arial"/>
        </w:rPr>
        <w:t xml:space="preserve"> HD. Le delta entre les profondeurs d’implantation de l'engrais et de la semence est réglé une fois pour toutes. Si la profondeur de semis est modifiée, l’élément fertiliseur réajuste automatiquement la profondeur en rapport avec la profondeur de semis. </w:t>
      </w:r>
    </w:p>
    <w:p w:rsidR="00F919CD" w:rsidRDefault="00F919CD" w:rsidP="000E2222">
      <w:pPr>
        <w:spacing w:after="120" w:line="360" w:lineRule="auto"/>
        <w:ind w:left="567" w:right="1695"/>
        <w:rPr>
          <w:rFonts w:ascii="Arial" w:hAnsi="Arial" w:cs="Arial"/>
          <w:bCs/>
        </w:rPr>
      </w:pPr>
    </w:p>
    <w:p w:rsidR="00FD4075" w:rsidRPr="001A3199" w:rsidRDefault="001A3199" w:rsidP="00FD4075">
      <w:pPr>
        <w:spacing w:after="120" w:line="360" w:lineRule="auto"/>
        <w:ind w:left="567" w:right="1695"/>
        <w:rPr>
          <w:rFonts w:ascii="Arial" w:hAnsi="Arial" w:cs="Arial"/>
          <w:b/>
          <w:bCs/>
        </w:rPr>
      </w:pPr>
      <w:r>
        <w:rPr>
          <w:rFonts w:ascii="Arial" w:hAnsi="Arial"/>
          <w:b/>
        </w:rPr>
        <w:t xml:space="preserve">Essieu télescopique </w:t>
      </w:r>
    </w:p>
    <w:p w:rsidR="005D2DFE" w:rsidRDefault="004D7F39" w:rsidP="000E2222">
      <w:pPr>
        <w:spacing w:after="120" w:line="360" w:lineRule="auto"/>
        <w:ind w:left="567" w:right="1695"/>
        <w:rPr>
          <w:rFonts w:ascii="Arial" w:hAnsi="Arial" w:cs="Arial"/>
          <w:bCs/>
        </w:rPr>
      </w:pPr>
      <w:r>
        <w:rPr>
          <w:rFonts w:ascii="Arial" w:hAnsi="Arial"/>
        </w:rPr>
        <w:t xml:space="preserve">Le </w:t>
      </w:r>
      <w:proofErr w:type="spellStart"/>
      <w:r>
        <w:rPr>
          <w:rFonts w:ascii="Arial" w:hAnsi="Arial"/>
        </w:rPr>
        <w:t>Precea</w:t>
      </w:r>
      <w:proofErr w:type="spellEnd"/>
      <w:r>
        <w:rPr>
          <w:rFonts w:ascii="Arial" w:hAnsi="Arial"/>
        </w:rPr>
        <w:t xml:space="preserve">-TCC est proposé en 12 ou 16 rangs pour des écarts de rangs de 70, 75 et 80 cm. Un essieu télescopique est disponible pour modifier la voie du </w:t>
      </w:r>
      <w:proofErr w:type="spellStart"/>
      <w:r>
        <w:rPr>
          <w:rFonts w:ascii="Arial" w:hAnsi="Arial"/>
        </w:rPr>
        <w:t>Precea</w:t>
      </w:r>
      <w:proofErr w:type="spellEnd"/>
      <w:r>
        <w:rPr>
          <w:rFonts w:ascii="Arial" w:hAnsi="Arial"/>
        </w:rPr>
        <w:t xml:space="preserve"> selon l’inter-rang. Durant le chantier, les pneumatiques de grandes dimensions peuvent être décalés ; ainsi les roues passent entre les rangs de semis en évitant </w:t>
      </w:r>
      <w:proofErr w:type="gramStart"/>
      <w:r>
        <w:rPr>
          <w:rFonts w:ascii="Arial" w:hAnsi="Arial"/>
        </w:rPr>
        <w:t>les compactages juste</w:t>
      </w:r>
      <w:proofErr w:type="gramEnd"/>
      <w:r>
        <w:rPr>
          <w:rFonts w:ascii="Arial" w:hAnsi="Arial"/>
        </w:rPr>
        <w:t xml:space="preserve"> sous les rangs de semis. Avec les roues télescopiques, le </w:t>
      </w:r>
      <w:proofErr w:type="spellStart"/>
      <w:r>
        <w:rPr>
          <w:rFonts w:ascii="Arial" w:hAnsi="Arial"/>
        </w:rPr>
        <w:t>Precea</w:t>
      </w:r>
      <w:proofErr w:type="spellEnd"/>
      <w:r>
        <w:rPr>
          <w:rFonts w:ascii="Arial" w:hAnsi="Arial"/>
        </w:rPr>
        <w:t xml:space="preserve">-TCC aborde confortablement les déplacements routiers sur une largeur globale de 3 m. </w:t>
      </w:r>
    </w:p>
    <w:p w:rsidR="00FD4075" w:rsidRPr="00D82EF3" w:rsidRDefault="005D2DFE" w:rsidP="000E2222">
      <w:pPr>
        <w:spacing w:after="120" w:line="360" w:lineRule="auto"/>
        <w:ind w:left="567" w:right="1695"/>
        <w:rPr>
          <w:rFonts w:ascii="Arial" w:hAnsi="Arial" w:cs="Arial"/>
          <w:bCs/>
        </w:rPr>
      </w:pPr>
      <w:r>
        <w:rPr>
          <w:rFonts w:ascii="Arial" w:hAnsi="Arial"/>
        </w:rPr>
        <w:t>A court terme, ces nouveaux types de produits seront aussi disponibles pour des cultures plus serrées, telles que les betteraves, le colza ou le soja, avec des inter-rangs de 45 et 50 cm pour 18 ou 24 rangs et complèteront la gamme.</w:t>
      </w:r>
    </w:p>
    <w:p w:rsidR="004C493C" w:rsidRPr="00D82EF3" w:rsidRDefault="004C493C" w:rsidP="000E2222">
      <w:pPr>
        <w:spacing w:after="120" w:line="360" w:lineRule="auto"/>
        <w:ind w:left="567" w:right="1695"/>
        <w:rPr>
          <w:rFonts w:ascii="Arial" w:hAnsi="Arial" w:cs="Arial"/>
          <w:bCs/>
        </w:rPr>
      </w:pPr>
    </w:p>
    <w:p w:rsidR="00817294" w:rsidRDefault="00817294" w:rsidP="00EE4FD7">
      <w:pPr>
        <w:spacing w:after="120" w:line="360" w:lineRule="auto"/>
        <w:ind w:left="567" w:right="1695"/>
        <w:rPr>
          <w:rFonts w:ascii="Arial" w:hAnsi="Arial" w:cs="Arial"/>
          <w:b/>
          <w:bCs/>
        </w:rPr>
      </w:pPr>
    </w:p>
    <w:p w:rsidR="0003261E" w:rsidRDefault="00D507E4" w:rsidP="00EE4FD7">
      <w:pPr>
        <w:spacing w:after="120" w:line="360" w:lineRule="auto"/>
        <w:ind w:left="567" w:right="1695"/>
        <w:rPr>
          <w:rFonts w:ascii="Arial" w:hAnsi="Arial" w:cs="Arial"/>
          <w:b/>
          <w:bCs/>
        </w:rPr>
      </w:pPr>
      <w:r>
        <w:rPr>
          <w:rFonts w:ascii="Arial" w:hAnsi="Arial"/>
          <w:b/>
          <w:noProof/>
          <w:lang w:val="de-DE"/>
        </w:rPr>
        <w:lastRenderedPageBreak/>
        <w:drawing>
          <wp:inline distT="0" distB="0" distL="0" distR="0">
            <wp:extent cx="534670" cy="403860"/>
            <wp:effectExtent l="0" t="0" r="0" b="0"/>
            <wp:docPr id="20" name="Grafik 20" descr="C:\Users\nberel\AppData\Local\Microsoft\Windows\INetCache\Content.Word\Ic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Icon-Vide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670" cy="403860"/>
                    </a:xfrm>
                    <a:prstGeom prst="rect">
                      <a:avLst/>
                    </a:prstGeom>
                    <a:noFill/>
                    <a:ln>
                      <a:noFill/>
                    </a:ln>
                  </pic:spPr>
                </pic:pic>
              </a:graphicData>
            </a:graphic>
          </wp:inline>
        </w:drawing>
      </w:r>
      <w:r>
        <w:rPr>
          <w:rFonts w:ascii="Arial" w:hAnsi="Arial"/>
          <w:b/>
        </w:rPr>
        <w:t xml:space="preserve">  </w:t>
      </w:r>
      <w:r>
        <w:rPr>
          <w:noProof/>
          <w:lang w:val="de-DE"/>
        </w:rPr>
        <w:drawing>
          <wp:inline distT="0" distB="0" distL="0" distR="0" wp14:anchorId="4264CDB2" wp14:editId="3033FC22">
            <wp:extent cx="1080000" cy="1080000"/>
            <wp:effectExtent l="0" t="0" r="6350" b="6350"/>
            <wp:docPr id="19" name="Grafik 19" descr="C:\Users\nberel\AppData\Local\Microsoft\Windows\INetCache\Content.Word\qr_Prospekt - Produktvideo Precea 12000-T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qr_Prospekt - Produktvideo Precea 12000-TCC.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DB612E" w:rsidRDefault="00423D92" w:rsidP="00EE4FD7">
      <w:pPr>
        <w:spacing w:after="120" w:line="360" w:lineRule="auto"/>
        <w:ind w:left="567" w:right="1695"/>
        <w:rPr>
          <w:rStyle w:val="Hyperlink"/>
          <w:rFonts w:ascii="Arial" w:hAnsi="Arial" w:cs="Arial"/>
        </w:rPr>
      </w:pPr>
      <w:hyperlink r:id="rId10" w:history="1">
        <w:r w:rsidR="00C018C2">
          <w:rPr>
            <w:rStyle w:val="Hyperlink"/>
            <w:rFonts w:ascii="Arial" w:hAnsi="Arial"/>
          </w:rPr>
          <w:t>www.amazone.de/yt-precea-tcc</w:t>
        </w:r>
      </w:hyperlink>
    </w:p>
    <w:p w:rsidR="00817294" w:rsidRDefault="00817294" w:rsidP="00EE4FD7">
      <w:pPr>
        <w:spacing w:after="120" w:line="360" w:lineRule="auto"/>
        <w:ind w:left="567" w:right="1695"/>
        <w:rPr>
          <w:rStyle w:val="Hyperlink"/>
          <w:rFonts w:ascii="Arial" w:hAnsi="Arial" w:cs="Arial"/>
        </w:rPr>
      </w:pPr>
    </w:p>
    <w:p w:rsidR="00817294" w:rsidRDefault="00817294" w:rsidP="00EE4FD7">
      <w:pPr>
        <w:spacing w:after="120" w:line="360" w:lineRule="auto"/>
        <w:ind w:left="567" w:right="1695"/>
        <w:rPr>
          <w:rStyle w:val="Hyperlink"/>
          <w:rFonts w:ascii="Arial" w:hAnsi="Arial" w:cs="Arial"/>
        </w:rPr>
      </w:pPr>
    </w:p>
    <w:p w:rsidR="000E2222" w:rsidRDefault="00423D92" w:rsidP="00817294">
      <w:pPr>
        <w:ind w:left="567"/>
        <w:rPr>
          <w:rFonts w:ascii="Arial" w:hAnsi="Arial" w:cs="Arial"/>
          <w:b/>
          <w:bCs/>
        </w:rPr>
      </w:pPr>
      <w:r>
        <w:rPr>
          <w:rFonts w:ascii="Arial" w:hAnsi="Arial" w:cs="Arial"/>
          <w:bCs/>
          <w:noProof/>
          <w:sz w:val="22"/>
          <w:szCs w:val="22"/>
          <w:lang w:val="de-DE"/>
        </w:rPr>
        <w:drawing>
          <wp:inline distT="0" distB="0" distL="0" distR="0">
            <wp:extent cx="5036185" cy="3752850"/>
            <wp:effectExtent l="0" t="0" r="0" b="0"/>
            <wp:docPr id="23" name="Grafik 23" descr="Precea12000-TCC_Fendt_d0_kw_DJI_0646_d1_230301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cea12000-TCC_Fendt_d0_kw_DJI_0646_d1_230301_aussch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36185" cy="3752850"/>
                    </a:xfrm>
                    <a:prstGeom prst="rect">
                      <a:avLst/>
                    </a:prstGeom>
                    <a:noFill/>
                    <a:ln>
                      <a:noFill/>
                    </a:ln>
                  </pic:spPr>
                </pic:pic>
              </a:graphicData>
            </a:graphic>
          </wp:inline>
        </w:drawing>
      </w:r>
    </w:p>
    <w:p w:rsidR="00C47343" w:rsidRDefault="00C47343" w:rsidP="00D436B4">
      <w:pPr>
        <w:spacing w:after="120" w:line="360" w:lineRule="auto"/>
        <w:ind w:left="567" w:right="1695"/>
        <w:rPr>
          <w:rFonts w:ascii="Arial" w:hAnsi="Arial" w:cs="Arial"/>
          <w:bCs/>
          <w:sz w:val="22"/>
          <w:szCs w:val="22"/>
        </w:rPr>
      </w:pPr>
      <w:r>
        <w:rPr>
          <w:rFonts w:ascii="Arial" w:hAnsi="Arial"/>
          <w:sz w:val="22"/>
        </w:rPr>
        <w:t xml:space="preserve">Le nouveau semoir </w:t>
      </w:r>
      <w:proofErr w:type="spellStart"/>
      <w:r>
        <w:rPr>
          <w:rFonts w:ascii="Arial" w:hAnsi="Arial"/>
          <w:sz w:val="22"/>
        </w:rPr>
        <w:t>monograine</w:t>
      </w:r>
      <w:proofErr w:type="spellEnd"/>
      <w:r>
        <w:rPr>
          <w:rFonts w:ascii="Arial" w:hAnsi="Arial"/>
          <w:sz w:val="22"/>
        </w:rPr>
        <w:t xml:space="preserve"> traîné </w:t>
      </w:r>
      <w:proofErr w:type="spellStart"/>
      <w:r>
        <w:rPr>
          <w:rFonts w:ascii="Arial" w:hAnsi="Arial"/>
          <w:sz w:val="22"/>
        </w:rPr>
        <w:t>Precea</w:t>
      </w:r>
      <w:proofErr w:type="spellEnd"/>
      <w:r>
        <w:rPr>
          <w:rFonts w:ascii="Arial" w:hAnsi="Arial"/>
          <w:sz w:val="22"/>
        </w:rPr>
        <w:t>-TCC établit des normes élevées en matière de précision, de rendement et d'utilisation intuitive.</w:t>
      </w:r>
    </w:p>
    <w:p w:rsidR="00423D92" w:rsidRDefault="00423D92">
      <w:pPr>
        <w:rPr>
          <w:rFonts w:ascii="Arial" w:hAnsi="Arial" w:cs="Arial"/>
          <w:bCs/>
          <w:sz w:val="22"/>
          <w:szCs w:val="22"/>
        </w:rPr>
      </w:pPr>
      <w:r>
        <w:rPr>
          <w:rFonts w:ascii="Arial" w:hAnsi="Arial" w:cs="Arial"/>
          <w:bCs/>
          <w:sz w:val="22"/>
          <w:szCs w:val="22"/>
        </w:rPr>
        <w:br w:type="page"/>
      </w:r>
    </w:p>
    <w:p w:rsidR="00423D92" w:rsidRDefault="00423D92" w:rsidP="00423D92">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36185" cy="3562350"/>
            <wp:effectExtent l="0" t="0" r="0" b="0"/>
            <wp:docPr id="25" name="Grafik 25" descr="Precea12000-TCC_Fendt_d0_kw_DJI_0674_d1_230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cea12000-TCC_Fendt_d0_kw_DJI_0674_d1_23030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6185" cy="3562350"/>
                    </a:xfrm>
                    <a:prstGeom prst="rect">
                      <a:avLst/>
                    </a:prstGeom>
                    <a:noFill/>
                    <a:ln>
                      <a:noFill/>
                    </a:ln>
                  </pic:spPr>
                </pic:pic>
              </a:graphicData>
            </a:graphic>
          </wp:inline>
        </w:drawing>
      </w:r>
    </w:p>
    <w:p w:rsidR="00423D92" w:rsidRDefault="00423D92" w:rsidP="00423D92">
      <w:pPr>
        <w:spacing w:after="120" w:line="360" w:lineRule="auto"/>
        <w:ind w:left="567" w:right="1695"/>
        <w:rPr>
          <w:rFonts w:ascii="Arial" w:hAnsi="Arial" w:cs="Arial"/>
          <w:b/>
          <w:bCs/>
        </w:rPr>
      </w:pPr>
    </w:p>
    <w:p w:rsidR="00423D92" w:rsidRDefault="00423D92" w:rsidP="00423D92">
      <w:pPr>
        <w:spacing w:after="120" w:line="360" w:lineRule="auto"/>
        <w:ind w:left="567" w:right="1695"/>
        <w:rPr>
          <w:rFonts w:ascii="Arial" w:hAnsi="Arial" w:cs="Arial"/>
          <w:b/>
          <w:bCs/>
        </w:rPr>
      </w:pPr>
      <w:r>
        <w:rPr>
          <w:rFonts w:ascii="Arial" w:hAnsi="Arial" w:cs="Arial"/>
          <w:b/>
          <w:bCs/>
          <w:noProof/>
          <w:lang w:val="de-DE"/>
        </w:rPr>
        <w:drawing>
          <wp:inline distT="0" distB="0" distL="0" distR="0">
            <wp:extent cx="5036185" cy="3384550"/>
            <wp:effectExtent l="0" t="0" r="0" b="6350"/>
            <wp:docPr id="24" name="Grafik 24" descr="Precea12000-TCC_JohnDeere_d0_kw_DJI_0426_d1_230512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ecea12000-TCC_JohnDeere_d0_kw_DJI_0426_d1_230512_rg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6185" cy="3384550"/>
                    </a:xfrm>
                    <a:prstGeom prst="rect">
                      <a:avLst/>
                    </a:prstGeom>
                    <a:noFill/>
                    <a:ln>
                      <a:noFill/>
                    </a:ln>
                  </pic:spPr>
                </pic:pic>
              </a:graphicData>
            </a:graphic>
          </wp:inline>
        </w:drawing>
      </w:r>
    </w:p>
    <w:p w:rsidR="00423D92" w:rsidRDefault="00423D92">
      <w:pPr>
        <w:rPr>
          <w:rFonts w:ascii="Arial" w:hAnsi="Arial" w:cs="Arial"/>
          <w:bCs/>
          <w:sz w:val="22"/>
          <w:szCs w:val="22"/>
        </w:rPr>
      </w:pPr>
      <w:r>
        <w:rPr>
          <w:rFonts w:ascii="Arial" w:hAnsi="Arial" w:cs="Arial"/>
          <w:bCs/>
          <w:sz w:val="22"/>
          <w:szCs w:val="22"/>
        </w:rPr>
        <w:br w:type="page"/>
      </w:r>
    </w:p>
    <w:p w:rsidR="00423D92" w:rsidRDefault="00423D92" w:rsidP="00423D92">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36185" cy="3289300"/>
            <wp:effectExtent l="0" t="0" r="0" b="6350"/>
            <wp:docPr id="26" name="Grafik 26" descr="Precea12000-TCC_Fendt_d0_kw_P5051615_d1_230224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ecea12000-TCC_Fendt_d0_kw_P5051615_d1_230224_aussch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6185" cy="3289300"/>
                    </a:xfrm>
                    <a:prstGeom prst="rect">
                      <a:avLst/>
                    </a:prstGeom>
                    <a:noFill/>
                    <a:ln>
                      <a:noFill/>
                    </a:ln>
                  </pic:spPr>
                </pic:pic>
              </a:graphicData>
            </a:graphic>
          </wp:inline>
        </w:drawing>
      </w:r>
    </w:p>
    <w:p w:rsidR="00423D92" w:rsidRPr="00803E51" w:rsidRDefault="00423D92" w:rsidP="00423D92">
      <w:pPr>
        <w:spacing w:after="120" w:line="360" w:lineRule="auto"/>
        <w:ind w:left="567" w:right="1695"/>
        <w:rPr>
          <w:rFonts w:ascii="Arial" w:hAnsi="Arial" w:cs="Arial"/>
          <w:bCs/>
        </w:rPr>
      </w:pPr>
      <w:r w:rsidRPr="00423D92">
        <w:rPr>
          <w:rFonts w:ascii="Arial" w:hAnsi="Arial" w:cs="Arial"/>
          <w:bCs/>
        </w:rPr>
        <w:t>La bonne accessibilité des trémies garantit un remplissage rapide et facile</w:t>
      </w:r>
      <w:proofErr w:type="gramStart"/>
      <w:r w:rsidRPr="00423D92">
        <w:rPr>
          <w:rFonts w:ascii="Arial" w:hAnsi="Arial" w:cs="Arial"/>
          <w:bCs/>
        </w:rPr>
        <w:t>.</w:t>
      </w:r>
      <w:bookmarkStart w:id="0" w:name="_GoBack"/>
      <w:bookmarkEnd w:id="0"/>
      <w:r w:rsidRPr="00803E51">
        <w:rPr>
          <w:rFonts w:ascii="Arial" w:hAnsi="Arial" w:cs="Arial"/>
          <w:bCs/>
        </w:rPr>
        <w:t>.</w:t>
      </w:r>
      <w:proofErr w:type="gramEnd"/>
      <w:r w:rsidRPr="00803E51">
        <w:rPr>
          <w:rFonts w:ascii="Arial" w:hAnsi="Arial" w:cs="Arial"/>
          <w:bCs/>
        </w:rPr>
        <w:t xml:space="preserve"> </w:t>
      </w:r>
    </w:p>
    <w:p w:rsidR="00D436B4" w:rsidRPr="00D436B4" w:rsidRDefault="00D436B4" w:rsidP="00D436B4">
      <w:pPr>
        <w:spacing w:after="120" w:line="360" w:lineRule="auto"/>
        <w:ind w:left="567" w:right="1695"/>
        <w:rPr>
          <w:rFonts w:ascii="Arial" w:hAnsi="Arial" w:cs="Arial"/>
          <w:bCs/>
          <w:sz w:val="22"/>
          <w:szCs w:val="22"/>
        </w:rPr>
      </w:pPr>
    </w:p>
    <w:p w:rsidR="007639FE" w:rsidRDefault="00C47343" w:rsidP="007639FE">
      <w:pPr>
        <w:spacing w:after="120" w:line="360" w:lineRule="auto"/>
        <w:ind w:left="567" w:right="1695"/>
        <w:rPr>
          <w:rFonts w:ascii="Arial" w:hAnsi="Arial" w:cs="Arial"/>
          <w:b/>
          <w:bCs/>
        </w:rPr>
      </w:pPr>
      <w:r>
        <w:rPr>
          <w:noProof/>
          <w:lang w:val="de-DE"/>
        </w:rPr>
        <w:drawing>
          <wp:inline distT="0" distB="0" distL="0" distR="0" wp14:anchorId="4381301D" wp14:editId="4E1FAE70">
            <wp:extent cx="4320000" cy="3240000"/>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ecea12000-TCC_d0_kw_P307088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C47343" w:rsidRPr="00C47343" w:rsidRDefault="00541F08" w:rsidP="00C47343">
      <w:pPr>
        <w:spacing w:after="120" w:line="360" w:lineRule="auto"/>
        <w:ind w:left="567" w:right="1695"/>
        <w:rPr>
          <w:rFonts w:ascii="Arial" w:hAnsi="Arial" w:cs="Arial"/>
          <w:bCs/>
          <w:sz w:val="22"/>
          <w:szCs w:val="22"/>
        </w:rPr>
      </w:pPr>
      <w:r>
        <w:rPr>
          <w:rFonts w:ascii="Arial" w:hAnsi="Arial"/>
          <w:sz w:val="22"/>
        </w:rPr>
        <w:t xml:space="preserve">L'alimentation des différents rangs à partir de la trémie centrale se régule par le biais de Central </w:t>
      </w:r>
      <w:proofErr w:type="spellStart"/>
      <w:r>
        <w:rPr>
          <w:rFonts w:ascii="Arial" w:hAnsi="Arial"/>
          <w:sz w:val="22"/>
        </w:rPr>
        <w:t>Seed</w:t>
      </w:r>
      <w:proofErr w:type="spellEnd"/>
      <w:r>
        <w:rPr>
          <w:rFonts w:ascii="Arial" w:hAnsi="Arial"/>
          <w:sz w:val="22"/>
        </w:rPr>
        <w:t xml:space="preserve"> </w:t>
      </w:r>
      <w:proofErr w:type="spellStart"/>
      <w:r>
        <w:rPr>
          <w:rFonts w:ascii="Arial" w:hAnsi="Arial"/>
          <w:sz w:val="22"/>
        </w:rPr>
        <w:t>Supply</w:t>
      </w:r>
      <w:proofErr w:type="spellEnd"/>
      <w:r>
        <w:rPr>
          <w:rFonts w:ascii="Arial" w:hAnsi="Arial"/>
          <w:sz w:val="22"/>
        </w:rPr>
        <w:t>.</w:t>
      </w:r>
    </w:p>
    <w:p w:rsidR="00C47343" w:rsidRDefault="00C47343" w:rsidP="007639FE">
      <w:pPr>
        <w:spacing w:after="120" w:line="360" w:lineRule="auto"/>
        <w:ind w:left="567" w:right="1695"/>
        <w:rPr>
          <w:rFonts w:ascii="Arial" w:hAnsi="Arial" w:cs="Arial"/>
          <w:b/>
          <w:bCs/>
        </w:rPr>
      </w:pPr>
    </w:p>
    <w:p w:rsidR="00C47343" w:rsidRDefault="00C47343" w:rsidP="007639FE">
      <w:pPr>
        <w:spacing w:after="120" w:line="360" w:lineRule="auto"/>
        <w:ind w:left="567" w:right="1695"/>
        <w:rPr>
          <w:rFonts w:ascii="Arial" w:hAnsi="Arial" w:cs="Arial"/>
          <w:b/>
          <w:bCs/>
        </w:rPr>
      </w:pPr>
    </w:p>
    <w:p w:rsidR="004A4E71" w:rsidRDefault="004A4E71">
      <w:pPr>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rsidR="00A42ED2" w:rsidRDefault="00A42ED2" w:rsidP="00A42ED2">
      <w:pPr>
        <w:spacing w:after="120" w:line="360" w:lineRule="auto"/>
        <w:ind w:left="567" w:right="1695"/>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6" w:history="1">
        <w:r w:rsidR="00423D92" w:rsidRPr="00B16896">
          <w:rPr>
            <w:rStyle w:val="Hyperlink"/>
            <w:rFonts w:ascii="Arial" w:hAnsi="Arial"/>
            <w:sz w:val="20"/>
          </w:rPr>
          <w:t>www.amazone.net/fr</w:t>
        </w:r>
      </w:hyperlink>
    </w:p>
    <w:p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2E85DC1" wp14:editId="27616AB0">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F46B6E8" wp14:editId="36E3D26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D0A7C86" wp14:editId="7657FDBD">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8AE2C6E" wp14:editId="3CEB39AC">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71060CA" wp14:editId="3A5DEF0A">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2037C7">
      <w:headerReference w:type="default" r:id="rId32"/>
      <w:footerReference w:type="default" r:id="rId33"/>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AA0" w:rsidRDefault="00E31AA0">
      <w:r>
        <w:separator/>
      </w:r>
    </w:p>
  </w:endnote>
  <w:endnote w:type="continuationSeparator" w:id="0">
    <w:p w:rsidR="00E31AA0" w:rsidRDefault="00E31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23D92">
                            <w:rPr>
                              <w:rFonts w:ascii="Arial" w:hAnsi="Arial"/>
                              <w:noProof/>
                              <w:sz w:val="20"/>
                            </w:rPr>
                            <w:t>4</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23D92">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23D92">
                      <w:rPr>
                        <w:rFonts w:ascii="Arial" w:hAnsi="Arial"/>
                        <w:noProof/>
                        <w:sz w:val="20"/>
                      </w:rPr>
                      <w:t>4</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23D92">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2AD57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7F0D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D744EF" w:rsidRDefault="005E0980" w:rsidP="006F7755">
                          <w:pPr>
                            <w:spacing w:line="280" w:lineRule="exact"/>
                            <w:rPr>
                              <w:rFonts w:ascii="Arial" w:hAnsi="Arial"/>
                              <w:spacing w:val="2"/>
                              <w:sz w:val="20"/>
                            </w:rPr>
                          </w:pPr>
                          <w:r>
                            <w:rPr>
                              <w:rFonts w:ascii="Arial" w:hAnsi="Arial"/>
                              <w:sz w:val="20"/>
                            </w:rPr>
                            <w:t>Tél. : +49 (0)5405 501-0 ∙ am</w:t>
                          </w:r>
                          <w:r w:rsidR="00423D92">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D744EF" w:rsidRDefault="005E0980" w:rsidP="006F7755">
                    <w:pPr>
                      <w:spacing w:line="280" w:lineRule="exact"/>
                      <w:rPr>
                        <w:rFonts w:ascii="Arial" w:hAnsi="Arial"/>
                        <w:spacing w:val="2"/>
                        <w:sz w:val="20"/>
                      </w:rPr>
                    </w:pPr>
                    <w:r>
                      <w:rPr>
                        <w:rFonts w:ascii="Arial" w:hAnsi="Arial"/>
                        <w:sz w:val="20"/>
                      </w:rPr>
                      <w:t>Tél. : +49 (0)5405 501-0 ∙ am</w:t>
                    </w:r>
                    <w:r w:rsidR="00423D92">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AA0" w:rsidRDefault="00E31AA0">
      <w:r>
        <w:separator/>
      </w:r>
    </w:p>
  </w:footnote>
  <w:footnote w:type="continuationSeparator" w:id="0">
    <w:p w:rsidR="00E31AA0" w:rsidRDefault="00E31A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4A4E71">
    <w:pPr>
      <w:pStyle w:val="Kopfzeile"/>
    </w:pPr>
    <w:r>
      <w:rPr>
        <w:noProof/>
        <w:lang w:val="de-DE"/>
      </w:rPr>
      <mc:AlternateContent>
        <mc:Choice Requires="wps">
          <w:drawing>
            <wp:anchor distT="0" distB="0" distL="114300" distR="114300" simplePos="0" relativeHeight="251668480" behindDoc="0" locked="0" layoutInCell="1" allowOverlap="1" wp14:anchorId="647AE8C2" wp14:editId="00203D2C">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Communiqué de presse mai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47AE8C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" filled="f" stroked="f" strokeweight="2pt">
              <v:textbox>
                <w:txbxContent>
                  <w:p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Communiqué de presse mai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895BA1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AEC18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DDCB27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AA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5B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2222"/>
    <w:rsid w:val="000E3570"/>
    <w:rsid w:val="000E3F49"/>
    <w:rsid w:val="000E45C0"/>
    <w:rsid w:val="000E771E"/>
    <w:rsid w:val="000F2EF4"/>
    <w:rsid w:val="000F451A"/>
    <w:rsid w:val="000F4BDC"/>
    <w:rsid w:val="000F6051"/>
    <w:rsid w:val="000F680B"/>
    <w:rsid w:val="000F7ECD"/>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4AE4"/>
    <w:rsid w:val="0019571A"/>
    <w:rsid w:val="001A0746"/>
    <w:rsid w:val="001A09C4"/>
    <w:rsid w:val="001A3199"/>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41E"/>
    <w:rsid w:val="001E6EDA"/>
    <w:rsid w:val="001E7DCB"/>
    <w:rsid w:val="001F0C4B"/>
    <w:rsid w:val="001F10DE"/>
    <w:rsid w:val="001F2C8E"/>
    <w:rsid w:val="001F3AF7"/>
    <w:rsid w:val="001F4D94"/>
    <w:rsid w:val="001F60F7"/>
    <w:rsid w:val="001F6110"/>
    <w:rsid w:val="001F62AF"/>
    <w:rsid w:val="001F6A87"/>
    <w:rsid w:val="001F7776"/>
    <w:rsid w:val="00202C07"/>
    <w:rsid w:val="002037C7"/>
    <w:rsid w:val="00205632"/>
    <w:rsid w:val="00206595"/>
    <w:rsid w:val="0021075B"/>
    <w:rsid w:val="00210C1C"/>
    <w:rsid w:val="00211B27"/>
    <w:rsid w:val="00212120"/>
    <w:rsid w:val="00213DA5"/>
    <w:rsid w:val="00214B31"/>
    <w:rsid w:val="002159B5"/>
    <w:rsid w:val="00216F89"/>
    <w:rsid w:val="0021724A"/>
    <w:rsid w:val="0021735D"/>
    <w:rsid w:val="00220557"/>
    <w:rsid w:val="002213AC"/>
    <w:rsid w:val="002223F7"/>
    <w:rsid w:val="00224778"/>
    <w:rsid w:val="00225843"/>
    <w:rsid w:val="002269B0"/>
    <w:rsid w:val="00232457"/>
    <w:rsid w:val="0023280D"/>
    <w:rsid w:val="00232BF5"/>
    <w:rsid w:val="00233153"/>
    <w:rsid w:val="00233AA4"/>
    <w:rsid w:val="002356E7"/>
    <w:rsid w:val="002364EF"/>
    <w:rsid w:val="002376D9"/>
    <w:rsid w:val="00241217"/>
    <w:rsid w:val="002416D9"/>
    <w:rsid w:val="00242354"/>
    <w:rsid w:val="00242FD7"/>
    <w:rsid w:val="00243BBA"/>
    <w:rsid w:val="0024492B"/>
    <w:rsid w:val="00245360"/>
    <w:rsid w:val="0024657A"/>
    <w:rsid w:val="00247E38"/>
    <w:rsid w:val="00253736"/>
    <w:rsid w:val="00253FE0"/>
    <w:rsid w:val="00255A4F"/>
    <w:rsid w:val="00255F3D"/>
    <w:rsid w:val="0025677D"/>
    <w:rsid w:val="00256A84"/>
    <w:rsid w:val="0025701D"/>
    <w:rsid w:val="00260884"/>
    <w:rsid w:val="002613D7"/>
    <w:rsid w:val="00261B3B"/>
    <w:rsid w:val="00262805"/>
    <w:rsid w:val="00263D84"/>
    <w:rsid w:val="00265D6C"/>
    <w:rsid w:val="0026750E"/>
    <w:rsid w:val="0027155F"/>
    <w:rsid w:val="00272610"/>
    <w:rsid w:val="002749F8"/>
    <w:rsid w:val="00277310"/>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0BFD"/>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E6ABB"/>
    <w:rsid w:val="002F03C7"/>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26D1A"/>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77E7"/>
    <w:rsid w:val="003F0E72"/>
    <w:rsid w:val="003F0EE2"/>
    <w:rsid w:val="003F1171"/>
    <w:rsid w:val="003F1353"/>
    <w:rsid w:val="003F309D"/>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92"/>
    <w:rsid w:val="00423DFC"/>
    <w:rsid w:val="00425508"/>
    <w:rsid w:val="00426246"/>
    <w:rsid w:val="00434861"/>
    <w:rsid w:val="00435862"/>
    <w:rsid w:val="00436667"/>
    <w:rsid w:val="0043678E"/>
    <w:rsid w:val="004377F1"/>
    <w:rsid w:val="00437D02"/>
    <w:rsid w:val="00440B98"/>
    <w:rsid w:val="00441AFA"/>
    <w:rsid w:val="004428EA"/>
    <w:rsid w:val="004453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79A3"/>
    <w:rsid w:val="004D7F39"/>
    <w:rsid w:val="004E0912"/>
    <w:rsid w:val="004E161C"/>
    <w:rsid w:val="004E1697"/>
    <w:rsid w:val="004E4EE0"/>
    <w:rsid w:val="004E51A5"/>
    <w:rsid w:val="004E62C5"/>
    <w:rsid w:val="004F0AEE"/>
    <w:rsid w:val="004F4104"/>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3EEC"/>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1F08"/>
    <w:rsid w:val="005422D1"/>
    <w:rsid w:val="00542C76"/>
    <w:rsid w:val="00545223"/>
    <w:rsid w:val="00547C11"/>
    <w:rsid w:val="0055044D"/>
    <w:rsid w:val="005508AB"/>
    <w:rsid w:val="00552A6F"/>
    <w:rsid w:val="005543C9"/>
    <w:rsid w:val="00554D0D"/>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582A"/>
    <w:rsid w:val="00586056"/>
    <w:rsid w:val="005866E2"/>
    <w:rsid w:val="00586FC0"/>
    <w:rsid w:val="005874E0"/>
    <w:rsid w:val="00591E7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E4D"/>
    <w:rsid w:val="005C6C0D"/>
    <w:rsid w:val="005C7656"/>
    <w:rsid w:val="005C7B15"/>
    <w:rsid w:val="005D05A4"/>
    <w:rsid w:val="005D0B1A"/>
    <w:rsid w:val="005D1CAE"/>
    <w:rsid w:val="005D242F"/>
    <w:rsid w:val="005D2DF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113A9"/>
    <w:rsid w:val="006123F0"/>
    <w:rsid w:val="0061248F"/>
    <w:rsid w:val="00612E9F"/>
    <w:rsid w:val="00615634"/>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0FEE"/>
    <w:rsid w:val="006C12AF"/>
    <w:rsid w:val="006C20D0"/>
    <w:rsid w:val="006C341C"/>
    <w:rsid w:val="006D03AE"/>
    <w:rsid w:val="006D24A3"/>
    <w:rsid w:val="006D2A85"/>
    <w:rsid w:val="006D2F24"/>
    <w:rsid w:val="006D4215"/>
    <w:rsid w:val="006D5DE3"/>
    <w:rsid w:val="006D6692"/>
    <w:rsid w:val="006E017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492"/>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92E"/>
    <w:rsid w:val="00744A7E"/>
    <w:rsid w:val="00744D82"/>
    <w:rsid w:val="00750690"/>
    <w:rsid w:val="007510DD"/>
    <w:rsid w:val="007523C4"/>
    <w:rsid w:val="00752D87"/>
    <w:rsid w:val="0075365E"/>
    <w:rsid w:val="00754A48"/>
    <w:rsid w:val="00756992"/>
    <w:rsid w:val="00757E8C"/>
    <w:rsid w:val="00760BD7"/>
    <w:rsid w:val="00760ECB"/>
    <w:rsid w:val="00761764"/>
    <w:rsid w:val="00762888"/>
    <w:rsid w:val="007639FE"/>
    <w:rsid w:val="007671EC"/>
    <w:rsid w:val="00770F01"/>
    <w:rsid w:val="00771DA9"/>
    <w:rsid w:val="00776D54"/>
    <w:rsid w:val="0078043A"/>
    <w:rsid w:val="00784B8A"/>
    <w:rsid w:val="0078505E"/>
    <w:rsid w:val="007855C2"/>
    <w:rsid w:val="00790B9B"/>
    <w:rsid w:val="00792238"/>
    <w:rsid w:val="007944D9"/>
    <w:rsid w:val="007949E1"/>
    <w:rsid w:val="00797A3E"/>
    <w:rsid w:val="00797DF5"/>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294"/>
    <w:rsid w:val="008173EB"/>
    <w:rsid w:val="00817CEB"/>
    <w:rsid w:val="0082106F"/>
    <w:rsid w:val="0082147D"/>
    <w:rsid w:val="00821D08"/>
    <w:rsid w:val="00821D6F"/>
    <w:rsid w:val="00822A57"/>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35A7"/>
    <w:rsid w:val="00903BD1"/>
    <w:rsid w:val="009056AA"/>
    <w:rsid w:val="00910A7E"/>
    <w:rsid w:val="00911D0D"/>
    <w:rsid w:val="00913866"/>
    <w:rsid w:val="0091391B"/>
    <w:rsid w:val="00913ABA"/>
    <w:rsid w:val="009150C8"/>
    <w:rsid w:val="00915DF6"/>
    <w:rsid w:val="00916BA8"/>
    <w:rsid w:val="00920552"/>
    <w:rsid w:val="00920AE8"/>
    <w:rsid w:val="0092142C"/>
    <w:rsid w:val="00921FE3"/>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376"/>
    <w:rsid w:val="00A46482"/>
    <w:rsid w:val="00A476EC"/>
    <w:rsid w:val="00A47E31"/>
    <w:rsid w:val="00A50C6B"/>
    <w:rsid w:val="00A52AFA"/>
    <w:rsid w:val="00A52C38"/>
    <w:rsid w:val="00A54C97"/>
    <w:rsid w:val="00A55A28"/>
    <w:rsid w:val="00A57A2A"/>
    <w:rsid w:val="00A60193"/>
    <w:rsid w:val="00A62065"/>
    <w:rsid w:val="00A638A2"/>
    <w:rsid w:val="00A70034"/>
    <w:rsid w:val="00A70B9F"/>
    <w:rsid w:val="00A74116"/>
    <w:rsid w:val="00A74C0A"/>
    <w:rsid w:val="00A765FC"/>
    <w:rsid w:val="00A774B8"/>
    <w:rsid w:val="00A7757F"/>
    <w:rsid w:val="00A77631"/>
    <w:rsid w:val="00A77B93"/>
    <w:rsid w:val="00A77D8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5DC"/>
    <w:rsid w:val="00AE1EBD"/>
    <w:rsid w:val="00AE212E"/>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57B"/>
    <w:rsid w:val="00B554E1"/>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122"/>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8C2"/>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6CE"/>
    <w:rsid w:val="00C26C45"/>
    <w:rsid w:val="00C31CBA"/>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11FC"/>
    <w:rsid w:val="00C61E9A"/>
    <w:rsid w:val="00C62ECB"/>
    <w:rsid w:val="00C63ADD"/>
    <w:rsid w:val="00C6461A"/>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48B"/>
    <w:rsid w:val="00CC66D1"/>
    <w:rsid w:val="00CD0F5F"/>
    <w:rsid w:val="00CD1CC7"/>
    <w:rsid w:val="00CD318D"/>
    <w:rsid w:val="00CD53D2"/>
    <w:rsid w:val="00CD7020"/>
    <w:rsid w:val="00CD741E"/>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7FAC"/>
    <w:rsid w:val="00D41EA9"/>
    <w:rsid w:val="00D431D0"/>
    <w:rsid w:val="00D436B4"/>
    <w:rsid w:val="00D46166"/>
    <w:rsid w:val="00D46238"/>
    <w:rsid w:val="00D46DCA"/>
    <w:rsid w:val="00D47C69"/>
    <w:rsid w:val="00D507E4"/>
    <w:rsid w:val="00D51EA2"/>
    <w:rsid w:val="00D52ABC"/>
    <w:rsid w:val="00D62B7C"/>
    <w:rsid w:val="00D62FE8"/>
    <w:rsid w:val="00D63365"/>
    <w:rsid w:val="00D667C2"/>
    <w:rsid w:val="00D706D6"/>
    <w:rsid w:val="00D71C9B"/>
    <w:rsid w:val="00D72F44"/>
    <w:rsid w:val="00D7320D"/>
    <w:rsid w:val="00D744EF"/>
    <w:rsid w:val="00D76221"/>
    <w:rsid w:val="00D8017D"/>
    <w:rsid w:val="00D8077E"/>
    <w:rsid w:val="00D81F2C"/>
    <w:rsid w:val="00D829C8"/>
    <w:rsid w:val="00D82EF3"/>
    <w:rsid w:val="00D83715"/>
    <w:rsid w:val="00D83CEC"/>
    <w:rsid w:val="00D83DCE"/>
    <w:rsid w:val="00D84C86"/>
    <w:rsid w:val="00D85976"/>
    <w:rsid w:val="00D85CDD"/>
    <w:rsid w:val="00D86892"/>
    <w:rsid w:val="00D909EB"/>
    <w:rsid w:val="00D90D6B"/>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D0208"/>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0E02"/>
    <w:rsid w:val="00E12CE4"/>
    <w:rsid w:val="00E12DCB"/>
    <w:rsid w:val="00E14A21"/>
    <w:rsid w:val="00E1533E"/>
    <w:rsid w:val="00E210CD"/>
    <w:rsid w:val="00E2251E"/>
    <w:rsid w:val="00E22FA4"/>
    <w:rsid w:val="00E236C2"/>
    <w:rsid w:val="00E247DB"/>
    <w:rsid w:val="00E25D8E"/>
    <w:rsid w:val="00E260F9"/>
    <w:rsid w:val="00E27DFB"/>
    <w:rsid w:val="00E30156"/>
    <w:rsid w:val="00E3043E"/>
    <w:rsid w:val="00E31AA0"/>
    <w:rsid w:val="00E32A90"/>
    <w:rsid w:val="00E32E07"/>
    <w:rsid w:val="00E33527"/>
    <w:rsid w:val="00E353FA"/>
    <w:rsid w:val="00E371A2"/>
    <w:rsid w:val="00E4238C"/>
    <w:rsid w:val="00E42B8E"/>
    <w:rsid w:val="00E42F21"/>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83B"/>
    <w:rsid w:val="00E81D17"/>
    <w:rsid w:val="00E828CD"/>
    <w:rsid w:val="00E82B25"/>
    <w:rsid w:val="00E861A2"/>
    <w:rsid w:val="00E869C9"/>
    <w:rsid w:val="00E91AEB"/>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31CD"/>
    <w:rsid w:val="00EE0AD5"/>
    <w:rsid w:val="00EE12AC"/>
    <w:rsid w:val="00EE253D"/>
    <w:rsid w:val="00EE2691"/>
    <w:rsid w:val="00EE37EF"/>
    <w:rsid w:val="00EE3D98"/>
    <w:rsid w:val="00EE4FD7"/>
    <w:rsid w:val="00EE5530"/>
    <w:rsid w:val="00EF0CC3"/>
    <w:rsid w:val="00EF33C1"/>
    <w:rsid w:val="00EF3A76"/>
    <w:rsid w:val="00EF442C"/>
    <w:rsid w:val="00EF46F1"/>
    <w:rsid w:val="00F0011A"/>
    <w:rsid w:val="00F00425"/>
    <w:rsid w:val="00F0360A"/>
    <w:rsid w:val="00F04AA9"/>
    <w:rsid w:val="00F04BE9"/>
    <w:rsid w:val="00F05CA3"/>
    <w:rsid w:val="00F1038F"/>
    <w:rsid w:val="00F11CCD"/>
    <w:rsid w:val="00F13A14"/>
    <w:rsid w:val="00F15443"/>
    <w:rsid w:val="00F15B68"/>
    <w:rsid w:val="00F16A78"/>
    <w:rsid w:val="00F170DD"/>
    <w:rsid w:val="00F17918"/>
    <w:rsid w:val="00F214BC"/>
    <w:rsid w:val="00F21B4A"/>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399A"/>
    <w:rsid w:val="00F919CD"/>
    <w:rsid w:val="00F923C5"/>
    <w:rsid w:val="00F93065"/>
    <w:rsid w:val="00F93DB3"/>
    <w:rsid w:val="00F94A25"/>
    <w:rsid w:val="00F94A70"/>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075"/>
    <w:rsid w:val="00FD42A7"/>
    <w:rsid w:val="00FD4B0C"/>
    <w:rsid w:val="00FD4DEC"/>
    <w:rsid w:val="00FD59D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323A"/>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hyperlink" Target="https://www.linkedin.com/company/amazone-france/"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hyperlink" Target="http://www.amazone.de/yt-precea-tcc" TargetMode="External"/><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cid:IG_efb650a7-31e4-4674-98db-f2d2d5c58dce.jpg" TargetMode="External"/><Relationship Id="rId27" Type="http://schemas.openxmlformats.org/officeDocument/2006/relationships/image" Target="media/image11.jpeg"/><Relationship Id="rId30" Type="http://schemas.openxmlformats.org/officeDocument/2006/relationships/image" Target="media/image12.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7909A-3F53-4512-86D9-9587DE19E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Vorlage.dotx</Template>
  <TotalTime>0</TotalTime>
  <Pages>7</Pages>
  <Words>1091</Words>
  <Characters>6224</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7301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communiqué de presse</dc:title>
  <dc:subject/>
  <dc:creator/>
  <cp:keywords/>
  <dc:description/>
  <cp:lastModifiedBy/>
  <cp:revision>1</cp:revision>
  <cp:lastPrinted>2010-02-24T09:10:00Z</cp:lastPrinted>
  <dcterms:created xsi:type="dcterms:W3CDTF">2023-05-05T08:58:00Z</dcterms:created>
  <dcterms:modified xsi:type="dcterms:W3CDTF">2023-05-15T10:03:00Z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