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346246" w14:textId="73065AC1" w:rsidR="000678F3" w:rsidRPr="000678F3" w:rsidRDefault="008B5E66" w:rsidP="008B5E66">
      <w:pPr>
        <w:spacing w:after="120" w:line="360" w:lineRule="auto"/>
        <w:ind w:left="567" w:right="1695"/>
        <w:rPr>
          <w:rFonts w:ascii="Arial" w:hAnsi="Arial" w:cs="Arial"/>
          <w:b/>
          <w:bCs/>
          <w:sz w:val="28"/>
          <w:szCs w:val="28"/>
        </w:rPr>
      </w:pPr>
      <w:r w:rsidRPr="008B5E66">
        <w:rPr>
          <w:rFonts w:ascii="Arial" w:hAnsi="Arial" w:cs="Arial"/>
          <w:b/>
          <w:bCs/>
          <w:sz w:val="28"/>
          <w:szCs w:val="28"/>
        </w:rPr>
        <w:t xml:space="preserve">Neue Aufbausämaschine </w:t>
      </w:r>
      <w:proofErr w:type="spellStart"/>
      <w:r w:rsidRPr="008B5E66">
        <w:rPr>
          <w:rFonts w:ascii="Arial" w:hAnsi="Arial" w:cs="Arial"/>
          <w:b/>
          <w:bCs/>
          <w:sz w:val="28"/>
          <w:szCs w:val="28"/>
        </w:rPr>
        <w:t>Centaya</w:t>
      </w:r>
      <w:proofErr w:type="spellEnd"/>
      <w:r w:rsidRPr="008B5E66">
        <w:rPr>
          <w:rFonts w:ascii="Arial" w:hAnsi="Arial" w:cs="Arial"/>
          <w:b/>
          <w:bCs/>
          <w:sz w:val="28"/>
          <w:szCs w:val="28"/>
        </w:rPr>
        <w:t>-C Special mit Zweikammerbehälter</w:t>
      </w:r>
    </w:p>
    <w:p w14:paraId="65EA582A" w14:textId="77777777" w:rsidR="00161FDD" w:rsidRDefault="00161FDD" w:rsidP="00161FDD">
      <w:pPr>
        <w:spacing w:line="360" w:lineRule="auto"/>
        <w:ind w:left="567" w:right="1695"/>
        <w:rPr>
          <w:rFonts w:ascii="Arial" w:hAnsi="Arial" w:cs="Arial"/>
        </w:rPr>
      </w:pPr>
    </w:p>
    <w:p w14:paraId="55FFE191" w14:textId="77777777" w:rsid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Nachdem AMAZONE im Herbst 2022 die Aufbausämaschine </w:t>
      </w:r>
      <w:proofErr w:type="spellStart"/>
      <w:r w:rsidRPr="008B5E66">
        <w:rPr>
          <w:rFonts w:ascii="Arial" w:eastAsia="Arial" w:hAnsi="Arial" w:cs="Arial"/>
        </w:rPr>
        <w:t>Centaya</w:t>
      </w:r>
      <w:proofErr w:type="spellEnd"/>
      <w:r w:rsidRPr="008B5E66">
        <w:rPr>
          <w:rFonts w:ascii="Arial" w:eastAsia="Arial" w:hAnsi="Arial" w:cs="Arial"/>
        </w:rPr>
        <w:t xml:space="preserve">-C Super für die kombinierte Saat vorgestellt hat, folgt mit der pneumatischen Aufbausämaschine </w:t>
      </w:r>
      <w:proofErr w:type="spellStart"/>
      <w:r w:rsidRPr="008B5E66">
        <w:rPr>
          <w:rFonts w:ascii="Arial" w:eastAsia="Arial" w:hAnsi="Arial" w:cs="Arial"/>
        </w:rPr>
        <w:t>Centaya</w:t>
      </w:r>
      <w:proofErr w:type="spellEnd"/>
      <w:r w:rsidRPr="008B5E66">
        <w:rPr>
          <w:rFonts w:ascii="Arial" w:eastAsia="Arial" w:hAnsi="Arial" w:cs="Arial"/>
        </w:rPr>
        <w:t xml:space="preserve"> Special nun die kleinere Variante. Die Maschine ist mit einem Behältervolumen von 1.500 l und einem Zweikammerbehälter ausgestattet. AMAZONE bietet die </w:t>
      </w:r>
      <w:proofErr w:type="spellStart"/>
      <w:r w:rsidRPr="008B5E66">
        <w:rPr>
          <w:rFonts w:ascii="Arial" w:eastAsia="Arial" w:hAnsi="Arial" w:cs="Arial"/>
        </w:rPr>
        <w:t>Centaya</w:t>
      </w:r>
      <w:proofErr w:type="spellEnd"/>
      <w:r w:rsidRPr="008B5E66">
        <w:rPr>
          <w:rFonts w:ascii="Arial" w:eastAsia="Arial" w:hAnsi="Arial" w:cs="Arial"/>
        </w:rPr>
        <w:t>-C Special in Arbeitsbreiten von 3 m, 3,5 m und 4 m an.</w:t>
      </w:r>
    </w:p>
    <w:p w14:paraId="6DB7F54B" w14:textId="77777777" w:rsidR="008B5E66" w:rsidRPr="008B5E66" w:rsidRDefault="008B5E66" w:rsidP="008B5E66">
      <w:pPr>
        <w:spacing w:after="120" w:line="360" w:lineRule="auto"/>
        <w:ind w:left="567" w:right="1695"/>
        <w:rPr>
          <w:rFonts w:ascii="Arial" w:eastAsia="Arial" w:hAnsi="Arial" w:cs="Arial"/>
        </w:rPr>
      </w:pPr>
    </w:p>
    <w:p w14:paraId="547D60B9" w14:textId="77777777" w:rsidR="008B5E66" w:rsidRPr="008B5E66" w:rsidRDefault="008B5E66" w:rsidP="008B5E66">
      <w:pPr>
        <w:spacing w:after="120" w:line="360" w:lineRule="auto"/>
        <w:ind w:left="567" w:right="1695"/>
        <w:rPr>
          <w:rFonts w:ascii="Arial" w:eastAsia="Arial" w:hAnsi="Arial" w:cs="Arial"/>
          <w:b/>
          <w:bCs/>
        </w:rPr>
      </w:pPr>
      <w:r w:rsidRPr="008B5E66">
        <w:rPr>
          <w:rFonts w:ascii="Arial" w:eastAsia="Arial" w:hAnsi="Arial" w:cs="Arial"/>
          <w:b/>
          <w:bCs/>
        </w:rPr>
        <w:t>Effizienter Einsatz von Betriebsmitteln</w:t>
      </w:r>
    </w:p>
    <w:p w14:paraId="68F48C5F"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Das Behältervolumen der </w:t>
      </w:r>
      <w:proofErr w:type="spellStart"/>
      <w:r w:rsidRPr="008B5E66">
        <w:rPr>
          <w:rFonts w:ascii="Arial" w:eastAsia="Arial" w:hAnsi="Arial" w:cs="Arial"/>
        </w:rPr>
        <w:t>Centaya</w:t>
      </w:r>
      <w:proofErr w:type="spellEnd"/>
      <w:r w:rsidRPr="008B5E66">
        <w:rPr>
          <w:rFonts w:ascii="Arial" w:eastAsia="Arial" w:hAnsi="Arial" w:cs="Arial"/>
        </w:rPr>
        <w:t xml:space="preserve">-C Special von 1.500 l teilt sich im Verhältnis 70:30 auf. Damit lassen sich 2 Ausbringgüter von 1.050 und 450 l bevorraten. Die verschiedenen Ausbringgüter werden bei der ISOBUS-gesteuerten </w:t>
      </w:r>
      <w:proofErr w:type="spellStart"/>
      <w:r w:rsidRPr="008B5E66">
        <w:rPr>
          <w:rFonts w:ascii="Arial" w:eastAsia="Arial" w:hAnsi="Arial" w:cs="Arial"/>
        </w:rPr>
        <w:t>Centaya</w:t>
      </w:r>
      <w:proofErr w:type="spellEnd"/>
      <w:r w:rsidRPr="008B5E66">
        <w:rPr>
          <w:rFonts w:ascii="Arial" w:eastAsia="Arial" w:hAnsi="Arial" w:cs="Arial"/>
        </w:rPr>
        <w:t xml:space="preserve">-C Special separat und </w:t>
      </w:r>
      <w:r w:rsidRPr="008B5E66">
        <w:rPr>
          <w:rFonts w:ascii="Arial" w:eastAsia="Arial" w:hAnsi="Arial" w:cs="Arial"/>
          <w:b/>
          <w:bCs/>
        </w:rPr>
        <w:t>präzise</w:t>
      </w:r>
      <w:r w:rsidRPr="008B5E66">
        <w:rPr>
          <w:rFonts w:ascii="Arial" w:eastAsia="Arial" w:hAnsi="Arial" w:cs="Arial"/>
        </w:rPr>
        <w:t xml:space="preserve"> dosiert. Die Aufbausämaschine mit ihren stufenlos elektrischen Dosierern ermöglicht Saatmengen von 0,5-400 kg/ha bei einer Arbeitsgeschwindigkeit von 10 km/h.</w:t>
      </w:r>
    </w:p>
    <w:p w14:paraId="08B9F953" w14:textId="77777777" w:rsidR="008B5E66" w:rsidRPr="008B5E66" w:rsidRDefault="008B5E66" w:rsidP="008B5E66">
      <w:pPr>
        <w:spacing w:after="120" w:line="360" w:lineRule="auto"/>
        <w:ind w:left="567" w:right="1695"/>
        <w:rPr>
          <w:rFonts w:ascii="Arial" w:eastAsia="Arial" w:hAnsi="Arial" w:cs="Arial"/>
        </w:rPr>
      </w:pPr>
    </w:p>
    <w:p w14:paraId="619E8C57"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Die Ausbringgüter werden dann über die Förderstrecke in den Segmentverteilerkopf zu den Scharen geführt. Bei der einfachen Förderstrecke werden das Saatgut und der Dünger im Single-Shoot-Verfahren zum Schar transportiert. Damit werden das Saatgut und der Dünger über </w:t>
      </w:r>
      <w:proofErr w:type="gramStart"/>
      <w:r w:rsidRPr="008B5E66">
        <w:rPr>
          <w:rFonts w:ascii="Arial" w:eastAsia="Arial" w:hAnsi="Arial" w:cs="Arial"/>
        </w:rPr>
        <w:t>ein</w:t>
      </w:r>
      <w:proofErr w:type="gramEnd"/>
      <w:r w:rsidRPr="008B5E66">
        <w:rPr>
          <w:rFonts w:ascii="Arial" w:eastAsia="Arial" w:hAnsi="Arial" w:cs="Arial"/>
        </w:rPr>
        <w:t xml:space="preserve"> Schar im Boden appliziert. </w:t>
      </w:r>
    </w:p>
    <w:p w14:paraId="1A7ABF5F" w14:textId="77777777" w:rsidR="008B5E66" w:rsidRPr="008B5E66" w:rsidRDefault="008B5E66" w:rsidP="008B5E66">
      <w:pPr>
        <w:spacing w:after="120" w:line="360" w:lineRule="auto"/>
        <w:ind w:left="567" w:right="1695"/>
        <w:rPr>
          <w:rFonts w:ascii="Arial" w:eastAsia="Arial" w:hAnsi="Arial" w:cs="Arial"/>
        </w:rPr>
      </w:pPr>
    </w:p>
    <w:p w14:paraId="720C6A36"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Die kombinierte Ausbringung von Saatgut und Dünger fördern die Jugendentwicklung von Getreide. Das Saatgut und der Dünger werden zusammen in den Boden ausgebracht und sind so effektiv eingesetzt und stehen der Pflanze schnell zur Verfügung. </w:t>
      </w:r>
    </w:p>
    <w:p w14:paraId="61539D7D" w14:textId="77777777" w:rsidR="008B5E66" w:rsidRPr="008B5E66" w:rsidRDefault="008B5E66" w:rsidP="008B5E66">
      <w:pPr>
        <w:spacing w:after="120" w:line="360" w:lineRule="auto"/>
        <w:ind w:left="567" w:right="1695"/>
        <w:rPr>
          <w:rFonts w:ascii="Arial" w:eastAsia="Arial" w:hAnsi="Arial" w:cs="Arial"/>
        </w:rPr>
      </w:pPr>
    </w:p>
    <w:p w14:paraId="5FCDB89F"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lastRenderedPageBreak/>
        <w:t>Das Ausbringen von 2 unterschiedlichen Saatgütern ist ebenfalls denkbar. So können beispielsweise verschiedene Saatmengen mit den entsprechenden Dosierwalzen dosiert und ausgebracht werden.</w:t>
      </w:r>
    </w:p>
    <w:p w14:paraId="7230A165" w14:textId="77777777" w:rsidR="008B5E66" w:rsidRPr="008B5E66" w:rsidRDefault="008B5E66" w:rsidP="008B5E66">
      <w:pPr>
        <w:spacing w:after="120" w:line="360" w:lineRule="auto"/>
        <w:ind w:left="567" w:right="1695"/>
        <w:rPr>
          <w:rFonts w:ascii="Arial" w:eastAsia="Arial" w:hAnsi="Arial" w:cs="Arial"/>
        </w:rPr>
      </w:pPr>
    </w:p>
    <w:p w14:paraId="4EACA6A3" w14:textId="77777777" w:rsid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Die </w:t>
      </w:r>
      <w:proofErr w:type="spellStart"/>
      <w:r w:rsidRPr="008B5E66">
        <w:rPr>
          <w:rFonts w:ascii="Arial" w:eastAsia="Arial" w:hAnsi="Arial" w:cs="Arial"/>
        </w:rPr>
        <w:t>Centaya</w:t>
      </w:r>
      <w:proofErr w:type="spellEnd"/>
      <w:r w:rsidRPr="008B5E66">
        <w:rPr>
          <w:rFonts w:ascii="Arial" w:eastAsia="Arial" w:hAnsi="Arial" w:cs="Arial"/>
        </w:rPr>
        <w:t xml:space="preserve">-C Special lässt sich mit dem </w:t>
      </w:r>
      <w:proofErr w:type="spellStart"/>
      <w:r w:rsidRPr="008B5E66">
        <w:rPr>
          <w:rFonts w:ascii="Arial" w:eastAsia="Arial" w:hAnsi="Arial" w:cs="Arial"/>
        </w:rPr>
        <w:t>Mikrogranulatstreuer</w:t>
      </w:r>
      <w:proofErr w:type="spellEnd"/>
      <w:r w:rsidRPr="008B5E66">
        <w:rPr>
          <w:rFonts w:ascii="Arial" w:eastAsia="Arial" w:hAnsi="Arial" w:cs="Arial"/>
        </w:rPr>
        <w:t xml:space="preserve"> Micro plus ausrüsten. Der 110-l-Behälter kann zusätzlich an der pneumatischen Aufbausämaschine montiert werden. In diesem Fall wird das Ausbringgut in die Hauptförderstrecke der </w:t>
      </w:r>
      <w:proofErr w:type="spellStart"/>
      <w:r w:rsidRPr="008B5E66">
        <w:rPr>
          <w:rFonts w:ascii="Arial" w:eastAsia="Arial" w:hAnsi="Arial" w:cs="Arial"/>
        </w:rPr>
        <w:t>Centaya</w:t>
      </w:r>
      <w:proofErr w:type="spellEnd"/>
      <w:r w:rsidRPr="008B5E66">
        <w:rPr>
          <w:rFonts w:ascii="Arial" w:eastAsia="Arial" w:hAnsi="Arial" w:cs="Arial"/>
        </w:rPr>
        <w:t>-C Special integriert und ebenfalls im Single-Shoot-Verfahren ausgebracht.</w:t>
      </w:r>
    </w:p>
    <w:p w14:paraId="49427671" w14:textId="77777777" w:rsidR="008B5E66" w:rsidRPr="008B5E66" w:rsidRDefault="008B5E66" w:rsidP="008B5E66">
      <w:pPr>
        <w:spacing w:after="120" w:line="360" w:lineRule="auto"/>
        <w:ind w:left="567" w:right="1695"/>
        <w:rPr>
          <w:rFonts w:ascii="Arial" w:eastAsia="Arial" w:hAnsi="Arial" w:cs="Arial"/>
        </w:rPr>
      </w:pPr>
    </w:p>
    <w:p w14:paraId="50819A4C"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t>Es ermöglicht dem Fahrer so ein drittes Ausbringgut bei einer Überfahrt auszubringen. Bei der Anwendung geht es um kleine Fördermengen wie Mikronährstoffe oder geringe Saatmengen.</w:t>
      </w:r>
    </w:p>
    <w:p w14:paraId="170942B5" w14:textId="77777777" w:rsidR="008B5E66" w:rsidRPr="008B5E66" w:rsidRDefault="008B5E66" w:rsidP="008B5E66">
      <w:pPr>
        <w:spacing w:after="120" w:line="360" w:lineRule="auto"/>
        <w:ind w:left="567" w:right="1695"/>
        <w:rPr>
          <w:rFonts w:ascii="Arial" w:eastAsia="Arial" w:hAnsi="Arial" w:cs="Arial"/>
        </w:rPr>
      </w:pPr>
    </w:p>
    <w:p w14:paraId="5950DF36"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Die Befüllung lässt sich dank großer Behälteröffnung komfortabel durchführen und der Saatgutbehälter sowie die einzelnen Dosierer sind über den </w:t>
      </w:r>
      <w:proofErr w:type="spellStart"/>
      <w:r w:rsidRPr="008B5E66">
        <w:rPr>
          <w:rFonts w:ascii="Arial" w:eastAsia="Arial" w:hAnsi="Arial" w:cs="Arial"/>
        </w:rPr>
        <w:t>Ladesteg</w:t>
      </w:r>
      <w:proofErr w:type="spellEnd"/>
      <w:r w:rsidRPr="008B5E66">
        <w:rPr>
          <w:rFonts w:ascii="Arial" w:eastAsia="Arial" w:hAnsi="Arial" w:cs="Arial"/>
        </w:rPr>
        <w:t xml:space="preserve"> bequem zu erreichen. Für einen schnellen Saatgutwechsel während der Arbeit lässt sich die Maschine mit einer Schnellentleerung ausstatten. Um weitere Saatgutsäcke zu parken, kann wahlweise ein Ablagefach für Saatgutsäcke geordert werden. </w:t>
      </w:r>
    </w:p>
    <w:p w14:paraId="0E900312" w14:textId="77777777" w:rsidR="008B5E66" w:rsidRPr="008B5E66" w:rsidRDefault="008B5E66" w:rsidP="008B5E66">
      <w:pPr>
        <w:spacing w:after="120" w:line="360" w:lineRule="auto"/>
        <w:ind w:left="567" w:right="1695"/>
        <w:rPr>
          <w:rFonts w:ascii="Arial" w:eastAsia="Arial" w:hAnsi="Arial" w:cs="Arial"/>
        </w:rPr>
      </w:pPr>
    </w:p>
    <w:p w14:paraId="45D284F5" w14:textId="77777777" w:rsid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Mit dem zweigeteilten 1.500-l-Saatgutbehälter ist die </w:t>
      </w:r>
      <w:proofErr w:type="spellStart"/>
      <w:r w:rsidRPr="008B5E66">
        <w:rPr>
          <w:rFonts w:ascii="Arial" w:eastAsia="Arial" w:hAnsi="Arial" w:cs="Arial"/>
        </w:rPr>
        <w:t>Centaya</w:t>
      </w:r>
      <w:proofErr w:type="spellEnd"/>
      <w:r w:rsidRPr="008B5E66">
        <w:rPr>
          <w:rFonts w:ascii="Arial" w:eastAsia="Arial" w:hAnsi="Arial" w:cs="Arial"/>
        </w:rPr>
        <w:t>-C Special sehr leistungsstark. Die Behälterform sorgt für einen geringen Hubkraftbedarf, da der aus Metall gefertigte Saatgutbehälter weit nach vorn Richtung Traktor geneigt ist.</w:t>
      </w:r>
    </w:p>
    <w:p w14:paraId="01FD1EFE" w14:textId="77777777" w:rsidR="008B5E66" w:rsidRPr="008B5E66" w:rsidRDefault="008B5E66" w:rsidP="008B5E66">
      <w:pPr>
        <w:spacing w:after="120" w:line="360" w:lineRule="auto"/>
        <w:ind w:left="567" w:right="1695"/>
        <w:rPr>
          <w:rFonts w:ascii="Arial" w:eastAsia="Arial" w:hAnsi="Arial" w:cs="Arial"/>
        </w:rPr>
      </w:pPr>
    </w:p>
    <w:p w14:paraId="3843866B" w14:textId="77777777" w:rsidR="008B5E66" w:rsidRPr="008B5E66" w:rsidRDefault="008B5E66" w:rsidP="008B5E66">
      <w:pPr>
        <w:spacing w:after="120" w:line="360" w:lineRule="auto"/>
        <w:ind w:left="567" w:right="1695"/>
        <w:rPr>
          <w:rFonts w:ascii="Arial" w:eastAsia="Arial" w:hAnsi="Arial" w:cs="Arial"/>
          <w:b/>
          <w:bCs/>
        </w:rPr>
      </w:pPr>
      <w:r w:rsidRPr="008B5E66">
        <w:rPr>
          <w:rFonts w:ascii="Arial" w:eastAsia="Arial" w:hAnsi="Arial" w:cs="Arial"/>
          <w:b/>
          <w:bCs/>
        </w:rPr>
        <w:t>2 Scharsysteme, 2 Reihenweiten</w:t>
      </w:r>
    </w:p>
    <w:p w14:paraId="1188816E" w14:textId="77777777" w:rsid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Die Aufbausämaschine mit Arbeitsbreiten von 3 m, 3,5 m oder 4 m bietet AMAZONE mit dem </w:t>
      </w:r>
      <w:proofErr w:type="spellStart"/>
      <w:r w:rsidRPr="008B5E66">
        <w:rPr>
          <w:rFonts w:ascii="Arial" w:eastAsia="Arial" w:hAnsi="Arial" w:cs="Arial"/>
        </w:rPr>
        <w:t>RoTeC</w:t>
      </w:r>
      <w:proofErr w:type="spellEnd"/>
      <w:r w:rsidRPr="008B5E66">
        <w:rPr>
          <w:rFonts w:ascii="Arial" w:eastAsia="Arial" w:hAnsi="Arial" w:cs="Arial"/>
        </w:rPr>
        <w:t xml:space="preserve">-Einscheibenschar und alternativ mit dem </w:t>
      </w:r>
      <w:proofErr w:type="spellStart"/>
      <w:r w:rsidRPr="008B5E66">
        <w:rPr>
          <w:rFonts w:ascii="Arial" w:eastAsia="Arial" w:hAnsi="Arial" w:cs="Arial"/>
        </w:rPr>
        <w:t>TwinTeC</w:t>
      </w:r>
      <w:proofErr w:type="spellEnd"/>
      <w:r w:rsidRPr="008B5E66">
        <w:rPr>
          <w:rFonts w:ascii="Arial" w:eastAsia="Arial" w:hAnsi="Arial" w:cs="Arial"/>
        </w:rPr>
        <w:t xml:space="preserve"> </w:t>
      </w:r>
      <w:r w:rsidRPr="008B5E66">
        <w:rPr>
          <w:rFonts w:ascii="Arial" w:eastAsia="Arial" w:hAnsi="Arial" w:cs="Arial"/>
        </w:rPr>
        <w:lastRenderedPageBreak/>
        <w:t>special-Doppelscheibenschar an. Die Maschinen können je nach Kundenwunsch mit einem Reihenabstand von 12,5 cm oder 15 cm (Arbeitsbreiten 3 und 4 m) bestellt werden.</w:t>
      </w:r>
    </w:p>
    <w:p w14:paraId="58E4801A" w14:textId="77777777" w:rsidR="008B5E66" w:rsidRPr="008B5E66" w:rsidRDefault="008B5E66" w:rsidP="008B5E66">
      <w:pPr>
        <w:spacing w:after="120" w:line="360" w:lineRule="auto"/>
        <w:ind w:left="567" w:right="1695"/>
        <w:rPr>
          <w:rFonts w:ascii="Arial" w:eastAsia="Arial" w:hAnsi="Arial" w:cs="Arial"/>
        </w:rPr>
      </w:pPr>
    </w:p>
    <w:p w14:paraId="3CDA022C" w14:textId="77777777" w:rsidR="008B5E66" w:rsidRPr="008B5E66" w:rsidRDefault="008B5E66" w:rsidP="008B5E66">
      <w:pPr>
        <w:spacing w:after="120" w:line="360" w:lineRule="auto"/>
        <w:ind w:left="567" w:right="1695"/>
        <w:rPr>
          <w:rFonts w:ascii="Arial" w:eastAsia="Arial" w:hAnsi="Arial" w:cs="Arial"/>
          <w:b/>
          <w:bCs/>
        </w:rPr>
      </w:pPr>
      <w:r w:rsidRPr="008B5E66">
        <w:rPr>
          <w:rFonts w:ascii="Arial" w:eastAsia="Arial" w:hAnsi="Arial" w:cs="Arial"/>
          <w:b/>
          <w:bCs/>
        </w:rPr>
        <w:t xml:space="preserve">Schnellkuppelsystem </w:t>
      </w:r>
      <w:proofErr w:type="spellStart"/>
      <w:r w:rsidRPr="008B5E66">
        <w:rPr>
          <w:rFonts w:ascii="Arial" w:eastAsia="Arial" w:hAnsi="Arial" w:cs="Arial"/>
          <w:b/>
          <w:bCs/>
        </w:rPr>
        <w:t>QuickLink</w:t>
      </w:r>
      <w:proofErr w:type="spellEnd"/>
    </w:p>
    <w:p w14:paraId="12922815" w14:textId="222FCCD5"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Die Aufbausämaschine </w:t>
      </w:r>
      <w:proofErr w:type="spellStart"/>
      <w:r w:rsidRPr="008B5E66">
        <w:rPr>
          <w:rFonts w:ascii="Arial" w:eastAsia="Arial" w:hAnsi="Arial" w:cs="Arial"/>
        </w:rPr>
        <w:t>Centaya</w:t>
      </w:r>
      <w:proofErr w:type="spellEnd"/>
      <w:r w:rsidRPr="008B5E66">
        <w:rPr>
          <w:rFonts w:ascii="Arial" w:eastAsia="Arial" w:hAnsi="Arial" w:cs="Arial"/>
        </w:rPr>
        <w:t xml:space="preserve">-C lässt sich über </w:t>
      </w:r>
      <w:proofErr w:type="spellStart"/>
      <w:r w:rsidRPr="008B5E66">
        <w:rPr>
          <w:rFonts w:ascii="Arial" w:eastAsia="Arial" w:hAnsi="Arial" w:cs="Arial"/>
        </w:rPr>
        <w:t>QuickLink</w:t>
      </w:r>
      <w:proofErr w:type="spellEnd"/>
      <w:r w:rsidRPr="008B5E66">
        <w:rPr>
          <w:rFonts w:ascii="Arial" w:eastAsia="Arial" w:hAnsi="Arial" w:cs="Arial"/>
        </w:rPr>
        <w:t xml:space="preserve"> mit verschiedenen Bodenbearbeitungsgeräten kombinieren. Je nach Anforderung besteht die Möglichkeit die </w:t>
      </w:r>
      <w:proofErr w:type="spellStart"/>
      <w:r w:rsidRPr="008B5E66">
        <w:rPr>
          <w:rFonts w:ascii="Arial" w:eastAsia="Arial" w:hAnsi="Arial" w:cs="Arial"/>
        </w:rPr>
        <w:t>Centaya</w:t>
      </w:r>
      <w:proofErr w:type="spellEnd"/>
      <w:r w:rsidRPr="008B5E66">
        <w:rPr>
          <w:rFonts w:ascii="Arial" w:eastAsia="Arial" w:hAnsi="Arial" w:cs="Arial"/>
        </w:rPr>
        <w:t xml:space="preserve"> mit einer Kreiselegge KE</w:t>
      </w:r>
      <w:r w:rsidR="00D33E91">
        <w:rPr>
          <w:rFonts w:ascii="Arial" w:eastAsia="Arial" w:hAnsi="Arial" w:cs="Arial"/>
        </w:rPr>
        <w:t>,</w:t>
      </w:r>
      <w:r w:rsidRPr="008B5E66">
        <w:rPr>
          <w:rFonts w:ascii="Arial" w:eastAsia="Arial" w:hAnsi="Arial" w:cs="Arial"/>
        </w:rPr>
        <w:t xml:space="preserve"> einem Kreiselgrubber KX oder KG kuppeln. Auf sehr leichten Standorten ist es auch denkbar die </w:t>
      </w:r>
      <w:proofErr w:type="spellStart"/>
      <w:r w:rsidRPr="008B5E66">
        <w:rPr>
          <w:rFonts w:ascii="Arial" w:eastAsia="Arial" w:hAnsi="Arial" w:cs="Arial"/>
        </w:rPr>
        <w:t>Centaya</w:t>
      </w:r>
      <w:proofErr w:type="spellEnd"/>
      <w:r w:rsidRPr="008B5E66">
        <w:rPr>
          <w:rFonts w:ascii="Arial" w:eastAsia="Arial" w:hAnsi="Arial" w:cs="Arial"/>
        </w:rPr>
        <w:t xml:space="preserve"> mit der Kompaktscheibenegge </w:t>
      </w:r>
      <w:proofErr w:type="spellStart"/>
      <w:r w:rsidRPr="008B5E66">
        <w:rPr>
          <w:rFonts w:ascii="Arial" w:eastAsia="Arial" w:hAnsi="Arial" w:cs="Arial"/>
        </w:rPr>
        <w:t>CombiDisc</w:t>
      </w:r>
      <w:proofErr w:type="spellEnd"/>
      <w:r w:rsidRPr="008B5E66">
        <w:rPr>
          <w:rFonts w:ascii="Arial" w:eastAsia="Arial" w:hAnsi="Arial" w:cs="Arial"/>
        </w:rPr>
        <w:t xml:space="preserve"> zu kombinieren.</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3B38696" w14:textId="0FEACEA1" w:rsidR="008B5E66" w:rsidRPr="007D5BD9" w:rsidRDefault="008B5E66" w:rsidP="007D5BD9">
      <w:pPr>
        <w:pStyle w:val="Listenabsatz"/>
        <w:numPr>
          <w:ilvl w:val="0"/>
          <w:numId w:val="18"/>
        </w:numPr>
        <w:spacing w:after="120" w:line="360" w:lineRule="auto"/>
        <w:ind w:right="1695"/>
        <w:rPr>
          <w:rFonts w:ascii="Arial" w:eastAsia="Arial" w:hAnsi="Arial" w:cs="Arial"/>
        </w:rPr>
      </w:pPr>
      <w:r w:rsidRPr="007D5BD9">
        <w:rPr>
          <w:rFonts w:ascii="Arial" w:eastAsia="Arial" w:hAnsi="Arial" w:cs="Arial"/>
        </w:rPr>
        <w:t>Eine Überfahrt – bis zu 3 verschiedene Medien ausbringen</w:t>
      </w:r>
    </w:p>
    <w:p w14:paraId="493F23F9" w14:textId="369BBDFC" w:rsidR="008B5E66" w:rsidRPr="007D5BD9" w:rsidRDefault="008B5E66" w:rsidP="007D5BD9">
      <w:pPr>
        <w:pStyle w:val="Listenabsatz"/>
        <w:numPr>
          <w:ilvl w:val="0"/>
          <w:numId w:val="18"/>
        </w:numPr>
        <w:spacing w:after="120" w:line="360" w:lineRule="auto"/>
        <w:ind w:right="1695"/>
        <w:rPr>
          <w:rFonts w:ascii="Arial" w:eastAsia="Arial" w:hAnsi="Arial" w:cs="Arial"/>
        </w:rPr>
      </w:pPr>
      <w:r w:rsidRPr="007D5BD9">
        <w:rPr>
          <w:rFonts w:ascii="Arial" w:eastAsia="Arial" w:hAnsi="Arial" w:cs="Arial"/>
        </w:rPr>
        <w:t>Gleichzeitige Etablierung der Feldfrüchte</w:t>
      </w:r>
    </w:p>
    <w:p w14:paraId="1653EE7C" w14:textId="18D16CA5" w:rsidR="008B5E66" w:rsidRPr="007D5BD9" w:rsidRDefault="008B5E66" w:rsidP="007D5BD9">
      <w:pPr>
        <w:pStyle w:val="Listenabsatz"/>
        <w:numPr>
          <w:ilvl w:val="0"/>
          <w:numId w:val="18"/>
        </w:numPr>
        <w:spacing w:after="120" w:line="360" w:lineRule="auto"/>
        <w:ind w:right="1695"/>
        <w:rPr>
          <w:rFonts w:ascii="Arial" w:eastAsia="Arial" w:hAnsi="Arial" w:cs="Arial"/>
        </w:rPr>
      </w:pPr>
      <w:r w:rsidRPr="007D5BD9">
        <w:rPr>
          <w:rFonts w:ascii="Arial" w:eastAsia="Arial" w:hAnsi="Arial" w:cs="Arial"/>
        </w:rPr>
        <w:t>Schnelle Jugendentwicklung</w:t>
      </w:r>
    </w:p>
    <w:p w14:paraId="33A19A94" w14:textId="0B252808" w:rsidR="00C46CAE" w:rsidRPr="007D5BD9" w:rsidRDefault="008B5E66" w:rsidP="007D5BD9">
      <w:pPr>
        <w:pStyle w:val="Listenabsatz"/>
        <w:numPr>
          <w:ilvl w:val="0"/>
          <w:numId w:val="18"/>
        </w:numPr>
        <w:spacing w:after="120" w:line="360" w:lineRule="auto"/>
        <w:ind w:right="1695"/>
        <w:rPr>
          <w:rFonts w:ascii="Arial" w:eastAsia="Arial" w:hAnsi="Arial" w:cs="Arial"/>
          <w:noProof/>
        </w:rPr>
      </w:pPr>
      <w:r w:rsidRPr="007D5BD9">
        <w:rPr>
          <w:rFonts w:ascii="Arial" w:eastAsia="Arial" w:hAnsi="Arial" w:cs="Arial"/>
        </w:rPr>
        <w:t xml:space="preserve">Jedes Fördergut wird </w:t>
      </w:r>
      <w:r w:rsidR="00D33E91" w:rsidRPr="007D5BD9">
        <w:rPr>
          <w:rFonts w:ascii="Arial" w:eastAsia="Arial" w:hAnsi="Arial" w:cs="Arial"/>
        </w:rPr>
        <w:t xml:space="preserve">separat dosiert </w:t>
      </w:r>
      <w:r w:rsidRPr="007D5BD9">
        <w:rPr>
          <w:rFonts w:ascii="Arial" w:eastAsia="Arial" w:hAnsi="Arial" w:cs="Arial"/>
        </w:rPr>
        <w:t>– perfekte Dosierung</w:t>
      </w:r>
    </w:p>
    <w:p w14:paraId="3EB67227" w14:textId="629A3CB2" w:rsidR="009477A9" w:rsidRDefault="009477A9" w:rsidP="00161FDD">
      <w:pPr>
        <w:spacing w:after="120" w:line="360" w:lineRule="auto"/>
        <w:ind w:left="567" w:right="1695"/>
        <w:rPr>
          <w:rFonts w:ascii="Arial" w:eastAsia="Arial" w:hAnsi="Arial" w:cs="Arial"/>
        </w:rPr>
      </w:pPr>
    </w:p>
    <w:p w14:paraId="20781523" w14:textId="77777777" w:rsidR="000678F3" w:rsidRDefault="000678F3" w:rsidP="00161FDD">
      <w:pPr>
        <w:spacing w:after="120" w:line="360" w:lineRule="auto"/>
        <w:ind w:left="567" w:right="1695"/>
        <w:rPr>
          <w:rFonts w:ascii="Arial" w:eastAsia="Arial" w:hAnsi="Arial" w:cs="Arial"/>
        </w:rPr>
      </w:pPr>
    </w:p>
    <w:p w14:paraId="639A0A87" w14:textId="1B6BF598" w:rsidR="008B5E66" w:rsidRDefault="008B5E66"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7B98477" wp14:editId="042733A6">
            <wp:extent cx="3477600" cy="2880000"/>
            <wp:effectExtent l="0" t="0" r="2540" b="3175"/>
            <wp:docPr id="14237481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48113" name="Grafik 14237481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5EFC14F" w14:textId="5DBCBC80"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t xml:space="preserve">Der geteilte Tank der </w:t>
      </w:r>
      <w:proofErr w:type="spellStart"/>
      <w:r w:rsidRPr="008B5E66">
        <w:rPr>
          <w:rFonts w:ascii="Arial" w:eastAsia="Arial" w:hAnsi="Arial" w:cs="Arial"/>
        </w:rPr>
        <w:t>Centaya</w:t>
      </w:r>
      <w:proofErr w:type="spellEnd"/>
      <w:r w:rsidRPr="008B5E66">
        <w:rPr>
          <w:rFonts w:ascii="Arial" w:eastAsia="Arial" w:hAnsi="Arial" w:cs="Arial"/>
        </w:rPr>
        <w:t xml:space="preserve"> 4000-C Special bringt zwei Ausbringgüter gleichzeitig im Single</w:t>
      </w:r>
      <w:r w:rsidR="007D5BD9">
        <w:rPr>
          <w:rFonts w:ascii="Arial" w:eastAsia="Arial" w:hAnsi="Arial" w:cs="Arial"/>
        </w:rPr>
        <w:t>-Shoot-</w:t>
      </w:r>
      <w:r w:rsidRPr="008B5E66">
        <w:rPr>
          <w:rFonts w:ascii="Arial" w:eastAsia="Arial" w:hAnsi="Arial" w:cs="Arial"/>
        </w:rPr>
        <w:t>Verfahren in den Boden aus.</w:t>
      </w:r>
    </w:p>
    <w:p w14:paraId="0BB10E90" w14:textId="77777777" w:rsidR="008B5E66" w:rsidRDefault="008B5E66" w:rsidP="00161FDD">
      <w:pPr>
        <w:spacing w:after="120" w:line="360" w:lineRule="auto"/>
        <w:ind w:left="567" w:right="1695"/>
        <w:rPr>
          <w:rFonts w:ascii="Arial" w:eastAsia="Arial" w:hAnsi="Arial" w:cs="Arial"/>
        </w:rPr>
      </w:pPr>
    </w:p>
    <w:p w14:paraId="6D14F60E" w14:textId="77777777" w:rsidR="008B5E66" w:rsidRDefault="008B5E66" w:rsidP="00161FDD">
      <w:pPr>
        <w:spacing w:after="120" w:line="360" w:lineRule="auto"/>
        <w:ind w:left="567" w:right="1695"/>
        <w:rPr>
          <w:rFonts w:ascii="Arial" w:eastAsia="Arial" w:hAnsi="Arial" w:cs="Arial"/>
        </w:rPr>
      </w:pPr>
    </w:p>
    <w:p w14:paraId="540CFE45" w14:textId="3C77BD4E" w:rsidR="008B5E66" w:rsidRDefault="008B5E66"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8A6314D" wp14:editId="0DB56D1A">
            <wp:extent cx="4053600" cy="2880000"/>
            <wp:effectExtent l="0" t="0" r="0" b="3175"/>
            <wp:docPr id="7467107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710786" name="Grafik 7467107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B0BF366" w14:textId="77777777" w:rsidR="008B5E66" w:rsidRPr="008B5E66" w:rsidRDefault="008B5E66" w:rsidP="008B5E66">
      <w:pPr>
        <w:spacing w:after="120" w:line="360" w:lineRule="auto"/>
        <w:ind w:left="567" w:right="1695"/>
        <w:rPr>
          <w:rFonts w:ascii="Arial" w:eastAsia="Arial" w:hAnsi="Arial" w:cs="Arial"/>
        </w:rPr>
      </w:pPr>
      <w:proofErr w:type="spellStart"/>
      <w:r w:rsidRPr="008B5E66">
        <w:rPr>
          <w:rFonts w:ascii="Arial" w:eastAsia="Arial" w:hAnsi="Arial" w:cs="Arial"/>
        </w:rPr>
        <w:t>Centaya</w:t>
      </w:r>
      <w:proofErr w:type="spellEnd"/>
      <w:r w:rsidRPr="008B5E66">
        <w:rPr>
          <w:rFonts w:ascii="Arial" w:eastAsia="Arial" w:hAnsi="Arial" w:cs="Arial"/>
        </w:rPr>
        <w:t xml:space="preserve"> 4000-C Special mit Doppeltank im Verhältnis 70:30. So können zwei unterschiedliche Güter separat dosiert werden.</w:t>
      </w:r>
    </w:p>
    <w:p w14:paraId="63A76FF6" w14:textId="77777777" w:rsidR="008B5E66" w:rsidRDefault="008B5E66" w:rsidP="00161FDD">
      <w:pPr>
        <w:spacing w:after="120" w:line="360" w:lineRule="auto"/>
        <w:ind w:left="567" w:right="1695"/>
        <w:rPr>
          <w:rFonts w:ascii="Arial" w:eastAsia="Arial" w:hAnsi="Arial" w:cs="Arial"/>
        </w:rPr>
      </w:pPr>
    </w:p>
    <w:p w14:paraId="32F12422" w14:textId="77777777" w:rsidR="008B5E66" w:rsidRDefault="008B5E66" w:rsidP="00161FDD">
      <w:pPr>
        <w:spacing w:after="120" w:line="360" w:lineRule="auto"/>
        <w:ind w:left="567" w:right="1695"/>
        <w:rPr>
          <w:rFonts w:ascii="Arial" w:eastAsia="Arial" w:hAnsi="Arial" w:cs="Arial"/>
        </w:rPr>
      </w:pPr>
    </w:p>
    <w:p w14:paraId="7958068B" w14:textId="40CEF450" w:rsidR="008B5E66" w:rsidRDefault="008B5E66"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E7F8B02" wp14:editId="37172363">
            <wp:extent cx="4053600" cy="2880000"/>
            <wp:effectExtent l="0" t="0" r="0" b="3175"/>
            <wp:docPr id="163947270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705" name="Grafik 16394727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1491619"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t>Beide Ausbringgüter werden einzeln über 2 Dosiereinheiten dosiert und über eine Förderstrecke zum Segmentverteilerkopf geleitet. Das bringt den Vorteil, dass die Dosierwalze für jedes Medium separat ausgewählt werden kann.</w:t>
      </w:r>
    </w:p>
    <w:p w14:paraId="0DDEF514" w14:textId="77777777" w:rsidR="008B5E66" w:rsidRDefault="008B5E66" w:rsidP="00161FDD">
      <w:pPr>
        <w:spacing w:after="120" w:line="360" w:lineRule="auto"/>
        <w:ind w:left="567" w:right="1695"/>
        <w:rPr>
          <w:rFonts w:ascii="Arial" w:eastAsia="Arial" w:hAnsi="Arial" w:cs="Arial"/>
        </w:rPr>
      </w:pPr>
    </w:p>
    <w:p w14:paraId="02F00EAD" w14:textId="77777777" w:rsidR="008B5E66" w:rsidRDefault="008B5E66" w:rsidP="00161FDD">
      <w:pPr>
        <w:spacing w:after="120" w:line="360" w:lineRule="auto"/>
        <w:ind w:left="567" w:right="1695"/>
        <w:rPr>
          <w:rFonts w:ascii="Arial" w:eastAsia="Arial" w:hAnsi="Arial" w:cs="Arial"/>
        </w:rPr>
      </w:pPr>
    </w:p>
    <w:p w14:paraId="30646C4D" w14:textId="2CEC58F8" w:rsidR="008B5E66" w:rsidRDefault="008B5E66"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21DE3F6" wp14:editId="7BAD0148">
            <wp:extent cx="5878800" cy="2880000"/>
            <wp:effectExtent l="0" t="0" r="1905" b="3175"/>
            <wp:docPr id="4298589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58921" name="Grafik 4298589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78800" cy="2880000"/>
                    </a:xfrm>
                    <a:prstGeom prst="rect">
                      <a:avLst/>
                    </a:prstGeom>
                  </pic:spPr>
                </pic:pic>
              </a:graphicData>
            </a:graphic>
          </wp:inline>
        </w:drawing>
      </w:r>
    </w:p>
    <w:p w14:paraId="283B1F1A"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b/>
          <w:bCs/>
        </w:rPr>
        <w:t>Single-Shoot:</w:t>
      </w:r>
      <w:r w:rsidRPr="008B5E66">
        <w:rPr>
          <w:rFonts w:ascii="Arial" w:eastAsia="Arial" w:hAnsi="Arial" w:cs="Arial"/>
        </w:rPr>
        <w:t xml:space="preserve"> Aussaat von Saatgut mit Dünger auf einem Ablagehorizont</w:t>
      </w:r>
    </w:p>
    <w:p w14:paraId="0F9CC1AA" w14:textId="77777777" w:rsidR="008B5E66" w:rsidRDefault="008B5E66" w:rsidP="00161FDD">
      <w:pPr>
        <w:spacing w:after="120" w:line="360" w:lineRule="auto"/>
        <w:ind w:left="567" w:right="1695"/>
        <w:rPr>
          <w:rFonts w:ascii="Arial" w:eastAsia="Arial" w:hAnsi="Arial" w:cs="Arial"/>
        </w:rPr>
      </w:pPr>
    </w:p>
    <w:p w14:paraId="53062394" w14:textId="77777777" w:rsidR="008B5E66" w:rsidRDefault="008B5E66" w:rsidP="00161FDD">
      <w:pPr>
        <w:spacing w:after="120" w:line="360" w:lineRule="auto"/>
        <w:ind w:left="567" w:right="1695"/>
        <w:rPr>
          <w:rFonts w:ascii="Arial" w:eastAsia="Arial" w:hAnsi="Arial" w:cs="Arial"/>
        </w:rPr>
      </w:pPr>
    </w:p>
    <w:p w14:paraId="7FE62296" w14:textId="2B4C5885" w:rsidR="008B5E66" w:rsidRDefault="008B5E66"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AECA781" wp14:editId="0DB1DE62">
            <wp:extent cx="5878800" cy="2880000"/>
            <wp:effectExtent l="0" t="0" r="1905" b="3175"/>
            <wp:docPr id="93045309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453093" name="Grafik 93045309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78800" cy="2880000"/>
                    </a:xfrm>
                    <a:prstGeom prst="rect">
                      <a:avLst/>
                    </a:prstGeom>
                  </pic:spPr>
                </pic:pic>
              </a:graphicData>
            </a:graphic>
          </wp:inline>
        </w:drawing>
      </w:r>
    </w:p>
    <w:p w14:paraId="73830CFC"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b/>
          <w:bCs/>
        </w:rPr>
        <w:t xml:space="preserve">Single-Shoot: </w:t>
      </w:r>
      <w:r w:rsidRPr="008B5E66">
        <w:rPr>
          <w:rFonts w:ascii="Arial" w:eastAsia="Arial" w:hAnsi="Arial" w:cs="Arial"/>
        </w:rPr>
        <w:t>Aussaat von zwei Saatgütern auf einem Ablagehorizont</w:t>
      </w:r>
    </w:p>
    <w:p w14:paraId="1C4A0775" w14:textId="77777777" w:rsidR="008B5E66" w:rsidRDefault="008B5E66" w:rsidP="00161FDD">
      <w:pPr>
        <w:spacing w:after="120" w:line="360" w:lineRule="auto"/>
        <w:ind w:left="567" w:right="1695"/>
        <w:rPr>
          <w:rFonts w:ascii="Arial" w:eastAsia="Arial" w:hAnsi="Arial" w:cs="Arial"/>
        </w:rPr>
      </w:pPr>
    </w:p>
    <w:p w14:paraId="7D19685C" w14:textId="77777777" w:rsidR="008B5E66" w:rsidRDefault="008B5E66" w:rsidP="00161FDD">
      <w:pPr>
        <w:spacing w:after="120" w:line="360" w:lineRule="auto"/>
        <w:ind w:left="567" w:right="1695"/>
        <w:rPr>
          <w:rFonts w:ascii="Arial" w:eastAsia="Arial" w:hAnsi="Arial" w:cs="Arial"/>
        </w:rPr>
      </w:pPr>
    </w:p>
    <w:p w14:paraId="0B8A75FD" w14:textId="77777777" w:rsidR="008B5E66" w:rsidRDefault="008B5E66" w:rsidP="00161FDD">
      <w:pPr>
        <w:spacing w:after="120" w:line="360" w:lineRule="auto"/>
        <w:ind w:left="567" w:right="1695"/>
        <w:rPr>
          <w:rFonts w:ascii="Arial" w:eastAsia="Arial" w:hAnsi="Arial" w:cs="Arial"/>
        </w:rPr>
      </w:pPr>
    </w:p>
    <w:p w14:paraId="138D2602" w14:textId="77777777" w:rsidR="008B5E66" w:rsidRDefault="008B5E66" w:rsidP="00161FDD">
      <w:pPr>
        <w:spacing w:after="120" w:line="360" w:lineRule="auto"/>
        <w:ind w:left="567" w:right="1695"/>
        <w:rPr>
          <w:rFonts w:ascii="Arial" w:eastAsia="Arial" w:hAnsi="Arial" w:cs="Arial"/>
        </w:rPr>
      </w:pPr>
    </w:p>
    <w:p w14:paraId="017EACB8" w14:textId="4DE03ABC" w:rsidR="008B5E66" w:rsidRDefault="008B5E66"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E3A0F39" wp14:editId="74CA3DCD">
            <wp:extent cx="5878800" cy="4176000"/>
            <wp:effectExtent l="0" t="0" r="1905" b="2540"/>
            <wp:docPr id="66329520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295209" name="Grafik 66329520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78800" cy="4176000"/>
                    </a:xfrm>
                    <a:prstGeom prst="rect">
                      <a:avLst/>
                    </a:prstGeom>
                  </pic:spPr>
                </pic:pic>
              </a:graphicData>
            </a:graphic>
          </wp:inline>
        </w:drawing>
      </w:r>
    </w:p>
    <w:p w14:paraId="5DA9E3B4" w14:textId="77777777" w:rsidR="008B5E66" w:rsidRPr="008B5E66" w:rsidRDefault="008B5E66" w:rsidP="008B5E66">
      <w:pPr>
        <w:spacing w:after="120" w:line="360" w:lineRule="auto"/>
        <w:ind w:left="567" w:right="1695"/>
        <w:rPr>
          <w:rFonts w:ascii="Arial" w:eastAsia="Arial" w:hAnsi="Arial" w:cs="Arial"/>
        </w:rPr>
      </w:pPr>
      <w:r w:rsidRPr="008B5E66">
        <w:rPr>
          <w:rFonts w:ascii="Arial" w:eastAsia="Arial" w:hAnsi="Arial" w:cs="Arial"/>
        </w:rPr>
        <w:t>Aussaat von zwei Saatgütern. Ein drittes Medium wird über den Micro plus Streuer dosiert und in die Förderstrecke integriert.</w:t>
      </w:r>
    </w:p>
    <w:p w14:paraId="09AA4C4E" w14:textId="77777777" w:rsidR="008B5E66" w:rsidRDefault="008B5E66" w:rsidP="00161FDD">
      <w:pPr>
        <w:spacing w:after="120" w:line="360" w:lineRule="auto"/>
        <w:ind w:left="567" w:right="1695"/>
        <w:rPr>
          <w:rFonts w:ascii="Arial" w:eastAsia="Arial" w:hAnsi="Arial" w:cs="Arial"/>
        </w:rPr>
      </w:pPr>
    </w:p>
    <w:p w14:paraId="476E85A6" w14:textId="77777777" w:rsidR="008B5E66" w:rsidRDefault="008B5E66" w:rsidP="00161FDD">
      <w:pPr>
        <w:spacing w:after="120" w:line="360" w:lineRule="auto"/>
        <w:ind w:left="567" w:right="1695"/>
        <w:rPr>
          <w:rFonts w:ascii="Arial" w:eastAsia="Arial" w:hAnsi="Arial" w:cs="Arial"/>
        </w:rPr>
      </w:pPr>
    </w:p>
    <w:p w14:paraId="496BA77F" w14:textId="77777777" w:rsidR="008B5E66" w:rsidRDefault="008B5E66" w:rsidP="00161FDD">
      <w:pPr>
        <w:spacing w:after="120" w:line="360" w:lineRule="auto"/>
        <w:ind w:left="567" w:right="1695"/>
        <w:rPr>
          <w:rFonts w:ascii="Arial" w:eastAsia="Arial" w:hAnsi="Arial" w:cs="Arial"/>
        </w:rPr>
      </w:pPr>
    </w:p>
    <w:p w14:paraId="7C430620" w14:textId="7F2C4A3E" w:rsidR="008B5E66" w:rsidRDefault="008B5E66"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1291951" wp14:editId="404A1311">
            <wp:extent cx="3477600" cy="2880000"/>
            <wp:effectExtent l="0" t="0" r="2540" b="3175"/>
            <wp:docPr id="58088926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889265" name="Grafik 58088926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E669DCE" w14:textId="144A5FD1" w:rsidR="008B5E66" w:rsidRPr="008B5E66" w:rsidRDefault="008B5E66" w:rsidP="008B5E66">
      <w:pPr>
        <w:spacing w:after="120" w:line="360" w:lineRule="auto"/>
        <w:ind w:left="567" w:right="1695"/>
        <w:rPr>
          <w:rFonts w:ascii="Arial" w:eastAsia="Arial" w:hAnsi="Arial" w:cs="Arial"/>
        </w:rPr>
      </w:pPr>
      <w:proofErr w:type="spellStart"/>
      <w:r w:rsidRPr="008B5E66">
        <w:rPr>
          <w:rFonts w:ascii="Arial" w:eastAsia="Arial" w:hAnsi="Arial" w:cs="Arial"/>
        </w:rPr>
        <w:t>Centaya</w:t>
      </w:r>
      <w:proofErr w:type="spellEnd"/>
      <w:r w:rsidRPr="008B5E66">
        <w:rPr>
          <w:rFonts w:ascii="Arial" w:eastAsia="Arial" w:hAnsi="Arial" w:cs="Arial"/>
        </w:rPr>
        <w:t xml:space="preserve"> 4000-C Special aufgebaut auf einem Kreiselgrubber </w:t>
      </w:r>
      <w:r w:rsidR="00766C52">
        <w:rPr>
          <w:rFonts w:ascii="Arial" w:hAnsi="Arial" w:cs="Arial"/>
        </w:rPr>
        <w:t>KG 4001</w:t>
      </w:r>
      <w:bookmarkStart w:id="0" w:name="_GoBack"/>
      <w:bookmarkEnd w:id="0"/>
      <w:r w:rsidRPr="008B5E66">
        <w:rPr>
          <w:rFonts w:ascii="Arial" w:eastAsia="Arial" w:hAnsi="Arial" w:cs="Arial"/>
        </w:rPr>
        <w:t xml:space="preserve">, der Boden wird gut gelockert und durchmischt und das Saatgut sauber über das </w:t>
      </w:r>
      <w:proofErr w:type="spellStart"/>
      <w:r w:rsidRPr="008B5E66">
        <w:rPr>
          <w:rFonts w:ascii="Arial" w:eastAsia="Arial" w:hAnsi="Arial" w:cs="Arial"/>
        </w:rPr>
        <w:t>TwinTeC</w:t>
      </w:r>
      <w:proofErr w:type="spellEnd"/>
      <w:r w:rsidR="007D5BD9">
        <w:rPr>
          <w:rFonts w:ascii="Arial" w:eastAsia="Arial" w:hAnsi="Arial" w:cs="Arial"/>
        </w:rPr>
        <w:t>-</w:t>
      </w:r>
      <w:r w:rsidRPr="008B5E66">
        <w:rPr>
          <w:rFonts w:ascii="Arial" w:eastAsia="Arial" w:hAnsi="Arial" w:cs="Arial"/>
        </w:rPr>
        <w:t>Doppelscheibenschar im Saathorizont platziert.</w:t>
      </w:r>
    </w:p>
    <w:p w14:paraId="17EA5076" w14:textId="77777777" w:rsidR="008B5E66" w:rsidRDefault="008B5E66"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Pr="00F4316E" w:rsidRDefault="005A5258"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3BDBF296"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5E1BE9">
        <w:rPr>
          <w:rFonts w:ascii="Arial" w:hAnsi="Arial" w:cs="Arial"/>
          <w:bCs/>
          <w:color w:val="808080" w:themeColor="background1" w:themeShade="80"/>
          <w:sz w:val="20"/>
          <w:szCs w:val="20"/>
        </w:rPr>
        <w:t>über</w:t>
      </w:r>
      <w:r w:rsidR="005E1BE9"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291AFF6E">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4C24569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4A702AB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AA15614">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46C0B9B6">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7F14AE" w14:textId="77777777" w:rsidR="000126AF" w:rsidRDefault="000126AF">
      <w:r>
        <w:separator/>
      </w:r>
    </w:p>
  </w:endnote>
  <w:endnote w:type="continuationSeparator" w:id="0">
    <w:p w14:paraId="56015FF0" w14:textId="77777777" w:rsidR="000126AF" w:rsidRDefault="000126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66C52">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66C52">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66C52">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66C52">
                      <w:rPr>
                        <w:rFonts w:ascii="Arial" w:hAnsi="Arial"/>
                        <w:noProof/>
                        <w:sz w:val="20"/>
                      </w:rPr>
                      <w:t>8</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B0C9D" w:rsidRDefault="005E0980" w:rsidP="006F7755">
                          <w:pPr>
                            <w:spacing w:line="280" w:lineRule="exact"/>
                            <w:rPr>
                              <w:rFonts w:ascii="Arial" w:hAnsi="Arial"/>
                              <w:spacing w:val="2"/>
                              <w:sz w:val="20"/>
                              <w:lang w:val="pl-PL"/>
                            </w:rPr>
                          </w:pPr>
                          <w:r w:rsidRPr="009B0C9D">
                            <w:rPr>
                              <w:rFonts w:ascii="Arial" w:hAnsi="Arial"/>
                              <w:spacing w:val="2"/>
                              <w:sz w:val="20"/>
                              <w:lang w:val="pl-PL"/>
                            </w:rPr>
                            <w:t xml:space="preserve">Telefon +49 (0)5405 501-0 ∙ </w:t>
                          </w:r>
                          <w:r w:rsidR="00B15CE5" w:rsidRPr="009B0C9D">
                            <w:rPr>
                              <w:rFonts w:ascii="Arial" w:hAnsi="Arial"/>
                              <w:spacing w:val="2"/>
                              <w:sz w:val="20"/>
                              <w:lang w:val="pl-PL"/>
                            </w:rPr>
                            <w:t>amazone@amazone.de</w:t>
                          </w:r>
                          <w:r w:rsidR="00A46482" w:rsidRPr="009B0C9D">
                            <w:rPr>
                              <w:rFonts w:ascii="Arial" w:hAnsi="Arial"/>
                              <w:spacing w:val="2"/>
                              <w:sz w:val="20"/>
                              <w:lang w:val="pl-PL"/>
                            </w:rPr>
                            <w:t xml:space="preserve"> ∙ www.amazone.</w:t>
                          </w:r>
                          <w:r w:rsidR="00306BA2" w:rsidRPr="009B0C9D">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629971" w14:textId="77777777" w:rsidR="000126AF" w:rsidRDefault="000126AF">
      <w:r>
        <w:separator/>
      </w:r>
    </w:p>
  </w:footnote>
  <w:footnote w:type="continuationSeparator" w:id="0">
    <w:p w14:paraId="3C606D64" w14:textId="77777777" w:rsidR="000126AF" w:rsidRDefault="000126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048516D"/>
    <w:multiLevelType w:val="hybridMultilevel"/>
    <w:tmpl w:val="F7B0D0B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9"/>
  </w:num>
  <w:num w:numId="2">
    <w:abstractNumId w:val="0"/>
  </w:num>
  <w:num w:numId="3">
    <w:abstractNumId w:val="6"/>
  </w:num>
  <w:num w:numId="4">
    <w:abstractNumId w:val="7"/>
  </w:num>
  <w:num w:numId="5">
    <w:abstractNumId w:val="4"/>
  </w:num>
  <w:num w:numId="6">
    <w:abstractNumId w:val="1"/>
  </w:num>
  <w:num w:numId="7">
    <w:abstractNumId w:val="14"/>
  </w:num>
  <w:num w:numId="8">
    <w:abstractNumId w:val="13"/>
  </w:num>
  <w:num w:numId="9">
    <w:abstractNumId w:val="5"/>
  </w:num>
  <w:num w:numId="10">
    <w:abstractNumId w:val="10"/>
  </w:num>
  <w:num w:numId="11">
    <w:abstractNumId w:val="11"/>
  </w:num>
  <w:num w:numId="12">
    <w:abstractNumId w:val="12"/>
  </w:num>
  <w:num w:numId="13">
    <w:abstractNumId w:val="17"/>
  </w:num>
  <w:num w:numId="14">
    <w:abstractNumId w:val="8"/>
  </w:num>
  <w:num w:numId="15">
    <w:abstractNumId w:val="3"/>
  </w:num>
  <w:num w:numId="16">
    <w:abstractNumId w:val="16"/>
  </w:num>
  <w:num w:numId="17">
    <w:abstractNumId w:val="15"/>
  </w:num>
  <w:num w:numId="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26AF"/>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BE9"/>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6C52"/>
    <w:rsid w:val="007671EC"/>
    <w:rsid w:val="00770F01"/>
    <w:rsid w:val="00771DA9"/>
    <w:rsid w:val="0077530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BD9"/>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0739"/>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483"/>
    <w:rsid w:val="00917DCA"/>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0C9D"/>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D83"/>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E91"/>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D09FCF-473C-4A5E-A811-FE378F2FC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785</Words>
  <Characters>4946</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5720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2023-08-30T13:53:00Z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