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73065AC1" w:rsidR="000678F3" w:rsidRPr="000678F3" w:rsidRDefault="008B5E66" w:rsidP="008B5E66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/>
          <w:b/>
          <w:sz w:val="28"/>
        </w:rPr>
        <w:t>Centaya</w:t>
      </w:r>
      <w:proofErr w:type="spellEnd"/>
      <w:r>
        <w:rPr>
          <w:rFonts w:ascii="Arial" w:hAnsi="Arial"/>
          <w:b/>
          <w:sz w:val="28"/>
        </w:rPr>
        <w:t xml:space="preserve">-C </w:t>
      </w:r>
      <w:proofErr w:type="spellStart"/>
      <w:r>
        <w:rPr>
          <w:rFonts w:ascii="Arial" w:hAnsi="Arial"/>
          <w:b/>
          <w:sz w:val="28"/>
        </w:rPr>
        <w:t>Special</w:t>
      </w:r>
      <w:proofErr w:type="spellEnd"/>
      <w:r>
        <w:rPr>
          <w:rFonts w:ascii="Arial" w:hAnsi="Arial"/>
          <w:b/>
          <w:sz w:val="28"/>
        </w:rPr>
        <w:t xml:space="preserve"> ráépített vetőgép kétkamrás tartállyal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55FFE191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Miután az AMAZONE 2022 őszén bevezette 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ráépített vetőgépet kombinált vetéshez, most bemutatja annak kisebb változatát, 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pneumatikus ráépített vetőgépet. A gép 1500 literes tartálytérfogattal és kétkamrás tartályelrendezéssel rendelkezik. Az AMAZONE 3 m-es, 3,5 m-es és 4 m-es munkaszélességben kínálja 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gépet.</w:t>
      </w:r>
    </w:p>
    <w:p w14:paraId="6DB7F54B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7D60B9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Az inputanyagok hatékony felhasználása</w:t>
      </w:r>
    </w:p>
    <w:p w14:paraId="68F48C5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tartálytérfogata 1500 liter, amely 70:30 arányban osztott. Ez lehetővé teszi 2 kijuttatandó anyag betárolását 1050 és 450 liter mennyiségben. Az ISOBUS vezérlésű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gépnél a különböző kijuttatandó anyagok adagolása külön és </w:t>
      </w:r>
      <w:r>
        <w:rPr>
          <w:rFonts w:ascii="Arial" w:hAnsi="Arial"/>
          <w:b/>
        </w:rPr>
        <w:t>nagy pontossággal</w:t>
      </w:r>
      <w:r>
        <w:rPr>
          <w:rFonts w:ascii="Arial" w:hAnsi="Arial"/>
        </w:rPr>
        <w:t xml:space="preserve"> történik. A ráépített vetőgép fokozatmentesen szabályozható elektromos adagolóegységekkel 0,5-400 kg/ha vetőmagmennyiséget tesz lehetővé 10 km/h munkasebesség mellett.</w:t>
      </w:r>
    </w:p>
    <w:p w14:paraId="08B9F953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9E8C57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kijuttatandó anyagok ezután a szegmens-elosztó fej szállítópályáin jutnak el a csoroszlyákhoz. Egy szállítópálya esetén a vetőmag és a műtrágya a </w:t>
      </w:r>
      <w:proofErr w:type="spellStart"/>
      <w:r>
        <w:rPr>
          <w:rFonts w:ascii="Arial" w:hAnsi="Arial"/>
        </w:rPr>
        <w:t>Single-Shoot</w:t>
      </w:r>
      <w:proofErr w:type="spellEnd"/>
      <w:r>
        <w:rPr>
          <w:rFonts w:ascii="Arial" w:hAnsi="Arial"/>
        </w:rPr>
        <w:t xml:space="preserve"> eljárás keretében kerül a csoroszlyához. Ebben az esetben a vetőmagot és a műtrágyát egy csoroszlya helyezi a talajba. </w:t>
      </w:r>
    </w:p>
    <w:p w14:paraId="1A7ABF5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0C6A3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vetőmag és a műtrágya kombinált kijuttatása elősegíti a gabona korai fázisú növekedését. A vetőmag és a műtrágya együtt kerül a talajba, így utóbbi hatékonyan hasznosul és gyorsan a növény rendelkezésére áll. </w:t>
      </w:r>
    </w:p>
    <w:p w14:paraId="61539D7D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CDB89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2 különböző vetőmag kijuttatása szintén lehetséges. Például különböző vetőmagmennyiségek adagolhatók és juttathatók ki a megfelelő adagolóhengerekkel.</w:t>
      </w:r>
    </w:p>
    <w:p w14:paraId="7230A165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EACA6A3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gép Micro plus </w:t>
      </w:r>
      <w:proofErr w:type="spellStart"/>
      <w:r>
        <w:rPr>
          <w:rFonts w:ascii="Arial" w:hAnsi="Arial"/>
        </w:rPr>
        <w:t>mikrogranulátum</w:t>
      </w:r>
      <w:proofErr w:type="spellEnd"/>
      <w:r>
        <w:rPr>
          <w:rFonts w:ascii="Arial" w:hAnsi="Arial"/>
        </w:rPr>
        <w:t xml:space="preserve">-szóróval is felszerelhető. A 110 literes tartály a pneumatikus ráépített vetőgépen is elhelyezhető. Ebben az esetben a kiszórandó anyag 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fő szállítópályában kap helyet és szintén a </w:t>
      </w:r>
      <w:proofErr w:type="spellStart"/>
      <w:r>
        <w:rPr>
          <w:rFonts w:ascii="Arial" w:hAnsi="Arial"/>
        </w:rPr>
        <w:t>Single-Shoot</w:t>
      </w:r>
      <w:proofErr w:type="spellEnd"/>
      <w:r>
        <w:rPr>
          <w:rFonts w:ascii="Arial" w:hAnsi="Arial"/>
        </w:rPr>
        <w:t xml:space="preserve"> eljárással kerül kijuttatásra.</w:t>
      </w:r>
    </w:p>
    <w:p w14:paraId="49427671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819A4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Ez lehetővé teszi a járművezető számára, hogy egy harmadik kiszórandó anyagot is kijuttasson egy menetben. Ez a megoldás kis mennyiségű </w:t>
      </w:r>
      <w:proofErr w:type="spellStart"/>
      <w:r>
        <w:rPr>
          <w:rFonts w:ascii="Arial" w:hAnsi="Arial"/>
        </w:rPr>
        <w:t>mikrotápanyagokhoz</w:t>
      </w:r>
      <w:proofErr w:type="spellEnd"/>
      <w:r>
        <w:rPr>
          <w:rFonts w:ascii="Arial" w:hAnsi="Arial"/>
        </w:rPr>
        <w:t xml:space="preserve"> vagy vetőmagokhoz való.</w:t>
      </w:r>
    </w:p>
    <w:p w14:paraId="170942B5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50DF3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feltöltés kényelmes a nagy tartálynyílásnak köszönhetően, a vetőmagtartály és az egyes adagolóegységek pedig könnyen elérhetők a rakodójárdán keresztül. A munka közbeni gyors vetőmagcsere érdekében a gép gyorsürítéssel is felszerelhető. További vetőzsákok tárolásához opcionális tárolórekesz is rendelhető a vetőzsákok számára. </w:t>
      </w:r>
    </w:p>
    <w:p w14:paraId="0E900312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D284F5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Kétrészes, 1500 literes vetőmagtartályával 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nagy teljesítményre képes. A tartály alakja miatt a gép emelőerő-szükséglete csekély, mivel a fém vetőmagtartály erősen előre döntött a traktor felé.</w:t>
      </w:r>
    </w:p>
    <w:p w14:paraId="01FD1EFE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843866B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2 csoroszlyarendszer, 2 sortávolság</w:t>
      </w:r>
    </w:p>
    <w:p w14:paraId="1188816E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a 3 m-es, 3,5 m-es vagy 4 m-es munkaszélességű ráépített vetőgépeket a </w:t>
      </w:r>
      <w:proofErr w:type="spellStart"/>
      <w:r>
        <w:rPr>
          <w:rFonts w:ascii="Arial" w:hAnsi="Arial"/>
        </w:rPr>
        <w:t>RoTeC</w:t>
      </w:r>
      <w:proofErr w:type="spellEnd"/>
      <w:r>
        <w:rPr>
          <w:rFonts w:ascii="Arial" w:hAnsi="Arial"/>
        </w:rPr>
        <w:t xml:space="preserve"> egytárcsás csoroszlyával, illetve igény szerint a </w:t>
      </w:r>
      <w:proofErr w:type="spellStart"/>
      <w:r>
        <w:rPr>
          <w:rFonts w:ascii="Arial" w:hAnsi="Arial"/>
        </w:rPr>
        <w:t>TwinTeC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duplatárcsás csoroszlyával kínálja. A gépek az ügyfél igényitől függően 12,5 cm vagy 15 cm sortávolsággal (3 és 4 m munkaszélességgel) rendelhetők.</w:t>
      </w:r>
    </w:p>
    <w:p w14:paraId="58E4801A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DA022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QuickLink gyorscsatlakozó rendszer</w:t>
      </w:r>
    </w:p>
    <w:p w14:paraId="12922815" w14:textId="222FCCD5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ráépített vetőgép a QuickLink segítségével különböző talajművelő eszközökkel kombinálható. Az igényektől függően 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gép egy KE </w:t>
      </w:r>
      <w:r>
        <w:rPr>
          <w:rFonts w:ascii="Arial" w:hAnsi="Arial"/>
        </w:rPr>
        <w:lastRenderedPageBreak/>
        <w:t xml:space="preserve">forgóboronával egy KG forgó lazítóval párosítható. Kis igénybevételt jelentő területeken 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gép akár </w:t>
      </w:r>
      <w:proofErr w:type="spellStart"/>
      <w:r>
        <w:rPr>
          <w:rFonts w:ascii="Arial" w:hAnsi="Arial"/>
        </w:rPr>
        <w:t>CombiDisc</w:t>
      </w:r>
      <w:proofErr w:type="spellEnd"/>
      <w:r>
        <w:rPr>
          <w:rFonts w:ascii="Arial" w:hAnsi="Arial"/>
        </w:rPr>
        <w:t xml:space="preserve"> rövidtárcsával is használható.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38696" w14:textId="0FEACEA1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Egy menet – akár 3 különböző közeg kijuttatása</w:t>
      </w:r>
    </w:p>
    <w:p w14:paraId="493F23F9" w14:textId="369BBDFC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Növénykultúrák egyidejű vetése</w:t>
      </w:r>
    </w:p>
    <w:p w14:paraId="1653EE7C" w14:textId="18D16CA5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Gyors korai fázisú növekedés</w:t>
      </w:r>
    </w:p>
    <w:p w14:paraId="33A19A94" w14:textId="0B252808" w:rsidR="00C46CAE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Minden anyag külön kerül adagolásra – a tökéletes adagolás érdekében</w:t>
      </w:r>
    </w:p>
    <w:p w14:paraId="3EB67227" w14:textId="629A3CB2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39A0A87" w14:textId="1B6BF598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7B98477" wp14:editId="042733A6">
            <wp:extent cx="3477600" cy="2880000"/>
            <wp:effectExtent l="0" t="0" r="2540" b="3175"/>
            <wp:docPr id="142374811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748113" name="Grafik 14237481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FC14F" w14:textId="65A8F712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osztott tartályából egyszerre két anyagot juttatható a talajba </w:t>
      </w:r>
      <w:proofErr w:type="spellStart"/>
      <w:r>
        <w:rPr>
          <w:rFonts w:ascii="Arial" w:hAnsi="Arial"/>
        </w:rPr>
        <w:t>Single-S</w:t>
      </w:r>
      <w:r w:rsidR="00E13565">
        <w:rPr>
          <w:rFonts w:ascii="Arial" w:hAnsi="Arial"/>
        </w:rPr>
        <w:t>h</w:t>
      </w:r>
      <w:r>
        <w:rPr>
          <w:rFonts w:ascii="Arial" w:hAnsi="Arial"/>
        </w:rPr>
        <w:t>oot</w:t>
      </w:r>
      <w:proofErr w:type="spellEnd"/>
      <w:r>
        <w:rPr>
          <w:rFonts w:ascii="Arial" w:hAnsi="Arial"/>
        </w:rPr>
        <w:t xml:space="preserve"> eljárással.</w:t>
      </w:r>
    </w:p>
    <w:p w14:paraId="0BB10E90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14F60E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0CFE45" w14:textId="3C77BD4E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8A6314D" wp14:editId="0DB56D1A">
            <wp:extent cx="4053600" cy="2880000"/>
            <wp:effectExtent l="0" t="0" r="0" b="3175"/>
            <wp:docPr id="74671078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710786" name="Grafik 7467107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BF36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70:30 arányban osztott kettős tartállyal. Használatával kétféle anyag adagolható külön.</w:t>
      </w:r>
    </w:p>
    <w:p w14:paraId="63A76FF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2F12422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58068B" w14:textId="40CEF450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E7F8B02" wp14:editId="37172363">
            <wp:extent cx="4053600" cy="2880000"/>
            <wp:effectExtent l="0" t="0" r="0" b="3175"/>
            <wp:docPr id="163947270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472705" name="Grafik 163947270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91619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két kijuttatandó anyagot külön-külön 2 adagolóegység adagolja ki és egy szállítópályán át jut el a szegmens-elosztófejhez. Ennek az az előnye, hogy az adagolóhenger minden egyes kijuttatandó anyaghoz külön-külön kiválasztható.</w:t>
      </w:r>
    </w:p>
    <w:p w14:paraId="0DDEF514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F00EAD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646C4D" w14:textId="2CEC58F8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21DE3F6" wp14:editId="7BAD0148">
            <wp:extent cx="5878800" cy="2880000"/>
            <wp:effectExtent l="0" t="0" r="1905" b="3175"/>
            <wp:docPr id="42985892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858921" name="Grafik 4298589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1F1A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  <w:b/>
        </w:rPr>
        <w:t>Single-Shoot</w:t>
      </w:r>
      <w:proofErr w:type="spellEnd"/>
      <w:r>
        <w:rPr>
          <w:rFonts w:ascii="Arial" w:hAnsi="Arial"/>
          <w:b/>
        </w:rPr>
        <w:t>:</w:t>
      </w:r>
      <w:r>
        <w:rPr>
          <w:rFonts w:ascii="Arial" w:hAnsi="Arial"/>
        </w:rPr>
        <w:t xml:space="preserve"> Vetőmag vetése műtrágyával egy mélységben</w:t>
      </w:r>
    </w:p>
    <w:p w14:paraId="0F9CC1AA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062394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FE62296" w14:textId="2B4C5885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AECA781" wp14:editId="0DB1DE62">
            <wp:extent cx="5878800" cy="2880000"/>
            <wp:effectExtent l="0" t="0" r="1905" b="3175"/>
            <wp:docPr id="93045309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53093" name="Grafik 93045309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30CF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  <w:b/>
        </w:rPr>
        <w:t>Single-Shoot</w:t>
      </w:r>
      <w:proofErr w:type="spellEnd"/>
      <w:r>
        <w:rPr>
          <w:rFonts w:ascii="Arial" w:hAnsi="Arial"/>
          <w:b/>
        </w:rPr>
        <w:t xml:space="preserve">: </w:t>
      </w:r>
      <w:r>
        <w:rPr>
          <w:rFonts w:ascii="Arial" w:hAnsi="Arial"/>
        </w:rPr>
        <w:t>Két vetőmag vetése egy mélységben</w:t>
      </w:r>
    </w:p>
    <w:p w14:paraId="138D2602" w14:textId="77777777" w:rsidR="008B5E66" w:rsidRDefault="008B5E66" w:rsidP="00E13565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17EACB8" w14:textId="4DE03ABC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E3A0F39" wp14:editId="74CA3DCD">
            <wp:extent cx="5878800" cy="4176000"/>
            <wp:effectExtent l="0" t="0" r="1905" b="2540"/>
            <wp:docPr id="663295209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295209" name="Grafik 66329520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41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E3B4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Két vetőmag vetése. A harmadik kijuttatandó anyag adagolása a Micro plus szóróval lehetséges, amely a szállítópályába van integrálva.</w:t>
      </w:r>
    </w:p>
    <w:p w14:paraId="09AA4C4E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6E85A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6BA77F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430620" w14:textId="7F2C4A3E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1291951" wp14:editId="404A1311">
            <wp:extent cx="3477600" cy="2880000"/>
            <wp:effectExtent l="0" t="0" r="2540" b="3175"/>
            <wp:docPr id="58088926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889265" name="Grafik 58088926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69DCE" w14:textId="003F5D14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egy KG 4001-es forgó lazítóra szerelve. Az egység jól fellazítja és átforgatja a talajt, a vetőmagot pedig a </w:t>
      </w:r>
      <w:proofErr w:type="spellStart"/>
      <w:r>
        <w:rPr>
          <w:rFonts w:ascii="Arial" w:hAnsi="Arial"/>
        </w:rPr>
        <w:t>TwinTeC</w:t>
      </w:r>
      <w:proofErr w:type="spellEnd"/>
      <w:r>
        <w:rPr>
          <w:rFonts w:ascii="Arial" w:hAnsi="Arial"/>
        </w:rPr>
        <w:t xml:space="preserve"> duplatárcsás csoroszlyával pontosan a vetési szintbe helyezi.</w:t>
      </w:r>
    </w:p>
    <w:p w14:paraId="17EA507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29DD9FC" w14:textId="77777777" w:rsidR="005A5258" w:rsidRPr="00F4316E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48380836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291AFF6E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4C245699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4A702ABC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AA15614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46C0B9B6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F41730" w14:textId="77777777" w:rsidR="0096567A" w:rsidRDefault="0096567A">
      <w:r>
        <w:separator/>
      </w:r>
    </w:p>
  </w:endnote>
  <w:endnote w:type="continuationSeparator" w:id="0">
    <w:p w14:paraId="594E4DBD" w14:textId="77777777" w:rsidR="0096567A" w:rsidRDefault="009656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D802F3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D802F3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2C51BB" w14:textId="77777777" w:rsidR="0096567A" w:rsidRDefault="0096567A">
      <w:r>
        <w:separator/>
      </w:r>
    </w:p>
  </w:footnote>
  <w:footnote w:type="continuationSeparator" w:id="0">
    <w:p w14:paraId="2396A689" w14:textId="77777777" w:rsidR="0096567A" w:rsidRDefault="009656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Normal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048516D"/>
    <w:multiLevelType w:val="hybridMultilevel"/>
    <w:tmpl w:val="F7B0D0B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60EB6C75"/>
    <w:multiLevelType w:val="hybridMultilevel"/>
    <w:tmpl w:val="208AB21E"/>
    <w:lvl w:ilvl="0" w:tplc="21E6B55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9896D9E"/>
    <w:multiLevelType w:val="hybridMultilevel"/>
    <w:tmpl w:val="28A475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1883900612">
    <w:abstractNumId w:val="9"/>
  </w:num>
  <w:num w:numId="2" w16cid:durableId="867639335">
    <w:abstractNumId w:val="0"/>
  </w:num>
  <w:num w:numId="3" w16cid:durableId="392699790">
    <w:abstractNumId w:val="6"/>
  </w:num>
  <w:num w:numId="4" w16cid:durableId="883835322">
    <w:abstractNumId w:val="7"/>
  </w:num>
  <w:num w:numId="5" w16cid:durableId="584266170">
    <w:abstractNumId w:val="4"/>
  </w:num>
  <w:num w:numId="6" w16cid:durableId="1943147372">
    <w:abstractNumId w:val="1"/>
  </w:num>
  <w:num w:numId="7" w16cid:durableId="1099717317">
    <w:abstractNumId w:val="14"/>
  </w:num>
  <w:num w:numId="8" w16cid:durableId="1996521266">
    <w:abstractNumId w:val="13"/>
  </w:num>
  <w:num w:numId="9" w16cid:durableId="526604767">
    <w:abstractNumId w:val="5"/>
  </w:num>
  <w:num w:numId="10" w16cid:durableId="1718044443">
    <w:abstractNumId w:val="10"/>
  </w:num>
  <w:num w:numId="11" w16cid:durableId="1989967571">
    <w:abstractNumId w:val="11"/>
  </w:num>
  <w:num w:numId="12" w16cid:durableId="781806208">
    <w:abstractNumId w:val="12"/>
  </w:num>
  <w:num w:numId="13" w16cid:durableId="1686251841">
    <w:abstractNumId w:val="17"/>
  </w:num>
  <w:num w:numId="14" w16cid:durableId="1097603796">
    <w:abstractNumId w:val="8"/>
  </w:num>
  <w:num w:numId="15" w16cid:durableId="1938559908">
    <w:abstractNumId w:val="3"/>
  </w:num>
  <w:num w:numId="16" w16cid:durableId="383457210">
    <w:abstractNumId w:val="16"/>
  </w:num>
  <w:num w:numId="17" w16cid:durableId="1822237701">
    <w:abstractNumId w:val="15"/>
  </w:num>
  <w:num w:numId="18" w16cid:durableId="690411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603E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BE9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530B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5BD9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0739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E66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483"/>
    <w:rsid w:val="00917DCA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567A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E91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2F3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3565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4D5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net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23E82F-9AA6-4BC0-9561-2030E1ABBC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746</Words>
  <Characters>4705</Characters>
  <Application>Microsoft Office Word</Application>
  <DocSecurity>0</DocSecurity>
  <Lines>39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5441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2023-09-08T06:56:00Z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