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346246" w14:textId="73065AC1" w:rsidR="000678F3" w:rsidRPr="000678F3" w:rsidRDefault="008B5E66" w:rsidP="008B5E66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Новая насадная сеялка </w:t>
      </w:r>
      <w:proofErr w:type="spellStart"/>
      <w:r>
        <w:rPr>
          <w:rFonts w:ascii="Arial" w:hAnsi="Arial"/>
          <w:b/>
          <w:sz w:val="28"/>
        </w:rPr>
        <w:t>Centaya</w:t>
      </w:r>
      <w:proofErr w:type="spellEnd"/>
      <w:r>
        <w:rPr>
          <w:rFonts w:ascii="Arial" w:hAnsi="Arial"/>
          <w:b/>
          <w:sz w:val="28"/>
        </w:rPr>
        <w:t>-C Special с двухсекционным бункером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55FFE191" w14:textId="77777777" w:rsid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После презентации AMAZONE осенью 2022 года насадной сеялки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Super для комбинированного посева появилась меньшая версия в виде пневматической насадной сеялки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 Special. Машина оснащена двухсекционным бункером общим объёмом 1.500 л. AMAZONE предлагает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>-C Special с шириной захвата 3 м, 3,5 м и 4 м.</w:t>
      </w:r>
    </w:p>
    <w:p w14:paraId="6DB7F54B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7D60B9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Эффективное использование производственных средств</w:t>
      </w:r>
    </w:p>
    <w:p w14:paraId="68F48C5F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Объём бункера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Special 1.500 л делится в соотношении 70:30. Тем самым, можно загрузить 2 вида распределяемого материала объёмом 1.050 и 450 л. На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Special с ISOBUS-регулировкой различные виды распределяемого материала дозируются по отдельности и </w:t>
      </w:r>
      <w:r>
        <w:rPr>
          <w:rFonts w:ascii="Arial" w:hAnsi="Arial"/>
          <w:b/>
        </w:rPr>
        <w:t>прецизионно</w:t>
      </w:r>
      <w:r>
        <w:rPr>
          <w:rFonts w:ascii="Arial" w:hAnsi="Arial"/>
        </w:rPr>
        <w:t xml:space="preserve">. Насадная сеялка с дозирующими устройствами с бесступенчатой электрической регулировкой позволяет реализовать норму высева </w:t>
      </w:r>
      <w:proofErr w:type="gramStart"/>
      <w:r>
        <w:rPr>
          <w:rFonts w:ascii="Arial" w:hAnsi="Arial"/>
        </w:rPr>
        <w:t>0,5-400</w:t>
      </w:r>
      <w:proofErr w:type="gramEnd"/>
      <w:r>
        <w:rPr>
          <w:rFonts w:ascii="Arial" w:hAnsi="Arial"/>
        </w:rPr>
        <w:t xml:space="preserve"> кг/га при рабочей скорости 10 км/ч.</w:t>
      </w:r>
    </w:p>
    <w:p w14:paraId="08B9F953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9E8C57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Распределяемые материалы проходят по магистрали подачи к сегментной распределительной головке и к сошникам. При простой магистрали подачи посевной материал и удобрения транспортируются по технологии Single-</w:t>
      </w:r>
      <w:proofErr w:type="spellStart"/>
      <w:r>
        <w:rPr>
          <w:rFonts w:ascii="Arial" w:hAnsi="Arial"/>
        </w:rPr>
        <w:t>Shoot</w:t>
      </w:r>
      <w:proofErr w:type="spellEnd"/>
      <w:r>
        <w:rPr>
          <w:rFonts w:ascii="Arial" w:hAnsi="Arial"/>
        </w:rPr>
        <w:t xml:space="preserve"> к сошнику. Тем самым, посевной материал и удобрения вносятся в почву с помощью одного сошника. </w:t>
      </w:r>
    </w:p>
    <w:p w14:paraId="1A7ABF5F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20C6A36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Комбинированное внесение посевного материала и удобрений стимулирует появление всходов зерновых. Посевной материал и удобрения вносятся в почву вместе, эффективно распределяются и быстро становятся доступными для растений. </w:t>
      </w:r>
    </w:p>
    <w:p w14:paraId="61539D7D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FCDB89F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Внесение 2 различных видов посевного материала также допустимо. Так, например, можно дозировать и вносить различную норму высева соответствующими дозирующими катушками.</w:t>
      </w:r>
    </w:p>
    <w:p w14:paraId="7230A165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EACA6A3" w14:textId="77777777" w:rsid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Special можно оснастить распределителем </w:t>
      </w:r>
      <w:proofErr w:type="spellStart"/>
      <w:r>
        <w:rPr>
          <w:rFonts w:ascii="Arial" w:hAnsi="Arial"/>
        </w:rPr>
        <w:t>микрогранулята</w:t>
      </w:r>
      <w:proofErr w:type="spellEnd"/>
      <w:r>
        <w:rPr>
          <w:rFonts w:ascii="Arial" w:hAnsi="Arial"/>
        </w:rPr>
        <w:t xml:space="preserve"> Micro </w:t>
      </w:r>
      <w:proofErr w:type="spellStart"/>
      <w:r>
        <w:rPr>
          <w:rFonts w:ascii="Arial" w:hAnsi="Arial"/>
        </w:rPr>
        <w:t>plus</w:t>
      </w:r>
      <w:proofErr w:type="spellEnd"/>
      <w:r>
        <w:rPr>
          <w:rFonts w:ascii="Arial" w:hAnsi="Arial"/>
        </w:rPr>
        <w:t xml:space="preserve">. Бункер 110 л можно дополнительно установить на пневматической насадной сеялке. В этом случае распределяемый материал интегрируется в основную магистраль подачи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>-C Special и также вносится по технологии Single-</w:t>
      </w:r>
      <w:proofErr w:type="spellStart"/>
      <w:r>
        <w:rPr>
          <w:rFonts w:ascii="Arial" w:hAnsi="Arial"/>
        </w:rPr>
        <w:t>Shoot</w:t>
      </w:r>
      <w:proofErr w:type="spellEnd"/>
      <w:r>
        <w:rPr>
          <w:rFonts w:ascii="Arial" w:hAnsi="Arial"/>
        </w:rPr>
        <w:t>.</w:t>
      </w:r>
    </w:p>
    <w:p w14:paraId="49427671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0819A4C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Таким образом, это позволяет механизатору вносить третий материал за один проход. При обработке вносится небольшое количество материалов, </w:t>
      </w:r>
      <w:proofErr w:type="gramStart"/>
      <w:r>
        <w:rPr>
          <w:rFonts w:ascii="Arial" w:hAnsi="Arial"/>
        </w:rPr>
        <w:t>например,</w:t>
      </w:r>
      <w:proofErr w:type="gramEnd"/>
      <w:r>
        <w:rPr>
          <w:rFonts w:ascii="Arial" w:hAnsi="Arial"/>
        </w:rPr>
        <w:t xml:space="preserve"> микроудобрения или малые нормы высева.</w:t>
      </w:r>
    </w:p>
    <w:p w14:paraId="170942B5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950DF36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Заполнение проводится комфортно благодаря большому загрузочному отверстию, а загрузочная платформа обеспечивает удобный доступ к семенному бункеру и отдельным дозирующим устройствам. Для быстрой смены посевного материала во время работы машина оснащена системой быстрого опустошения. Для размещения дополнительных мешков с посевным материалом можно на выбор заказать ящик для хранения мешков. </w:t>
      </w:r>
    </w:p>
    <w:p w14:paraId="0E900312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5D284F5" w14:textId="77777777" w:rsid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>-C Special с двухсекционным бункером 1.500 л является очень действенной машиной. Форма бункера обеспечивает низкую требуемую подъёмную силу, поскольку изготовленный из металла семенной бункер выступает далеко вперед в сторону трактора.</w:t>
      </w:r>
    </w:p>
    <w:p w14:paraId="01FD1EFE" w14:textId="77777777" w:rsid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2E5806B" w14:textId="77777777" w:rsidR="00D9799A" w:rsidRDefault="00D9799A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EB96D47" w14:textId="77777777" w:rsidR="00D9799A" w:rsidRPr="008B5E66" w:rsidRDefault="00D9799A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843866B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2 системы сошников, 2 междурядья</w:t>
      </w:r>
    </w:p>
    <w:p w14:paraId="1188816E" w14:textId="77777777" w:rsid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предлагает насадную сеялку с шириной захвата 3 м, 3,5 м или 4 м с однодисковым сошником </w:t>
      </w:r>
      <w:proofErr w:type="spellStart"/>
      <w:r>
        <w:rPr>
          <w:rFonts w:ascii="Arial" w:hAnsi="Arial"/>
        </w:rPr>
        <w:t>RoTeC</w:t>
      </w:r>
      <w:proofErr w:type="spellEnd"/>
      <w:r>
        <w:rPr>
          <w:rFonts w:ascii="Arial" w:hAnsi="Arial"/>
        </w:rPr>
        <w:t xml:space="preserve"> и альтернативно с двухдисковым сошником </w:t>
      </w:r>
      <w:proofErr w:type="spellStart"/>
      <w:r>
        <w:rPr>
          <w:rFonts w:ascii="Arial" w:hAnsi="Arial"/>
        </w:rPr>
        <w:t>TwinTeC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>. По желанию клиента машины можно заказать с междурядьем 12,5 см или 15 см (ширина захвата 3 и 4 м).</w:t>
      </w:r>
    </w:p>
    <w:p w14:paraId="58E4801A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CDA022C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Система быстрой сцепки </w:t>
      </w:r>
      <w:proofErr w:type="spellStart"/>
      <w:r>
        <w:rPr>
          <w:rFonts w:ascii="Arial" w:hAnsi="Arial"/>
          <w:b/>
        </w:rPr>
        <w:t>QuickLink</w:t>
      </w:r>
      <w:proofErr w:type="spellEnd"/>
    </w:p>
    <w:p w14:paraId="12922815" w14:textId="222FCCD5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Насадную сеялку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-C можно комбинировать с помощью </w:t>
      </w:r>
      <w:proofErr w:type="spellStart"/>
      <w:r>
        <w:rPr>
          <w:rFonts w:ascii="Arial" w:hAnsi="Arial"/>
        </w:rPr>
        <w:t>QuickLink</w:t>
      </w:r>
      <w:proofErr w:type="spellEnd"/>
      <w:r>
        <w:rPr>
          <w:rFonts w:ascii="Arial" w:hAnsi="Arial"/>
        </w:rPr>
        <w:t xml:space="preserve"> с различными почвообрабатывающими орудиями. В зависимости от требований можно соединить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 с ротационной бороной KE, ротационным культиватором KX или KG. На очень легких почвах можно комбинировать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 с компактной дисковой бороной </w:t>
      </w:r>
      <w:proofErr w:type="spellStart"/>
      <w:r>
        <w:rPr>
          <w:rFonts w:ascii="Arial" w:hAnsi="Arial"/>
        </w:rPr>
        <w:t>CombiDisc</w:t>
      </w:r>
      <w:proofErr w:type="spellEnd"/>
      <w:r>
        <w:rPr>
          <w:rFonts w:ascii="Arial" w:hAnsi="Arial"/>
        </w:rPr>
        <w:t>.</w:t>
      </w: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A1721F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38696" w14:textId="0FEACEA1" w:rsidR="008B5E66" w:rsidRPr="007D5BD9" w:rsidRDefault="008B5E66" w:rsidP="007D5BD9">
      <w:pPr>
        <w:pStyle w:val="Listenabsatz"/>
        <w:numPr>
          <w:ilvl w:val="0"/>
          <w:numId w:val="1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Один проход – внесение до 3 различных материалов</w:t>
      </w:r>
    </w:p>
    <w:p w14:paraId="493F23F9" w14:textId="369BBDFC" w:rsidR="008B5E66" w:rsidRPr="007D5BD9" w:rsidRDefault="008B5E66" w:rsidP="007D5BD9">
      <w:pPr>
        <w:pStyle w:val="Listenabsatz"/>
        <w:numPr>
          <w:ilvl w:val="0"/>
          <w:numId w:val="1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Одновременное развитие полевых культур</w:t>
      </w:r>
    </w:p>
    <w:p w14:paraId="1653EE7C" w14:textId="18D16CA5" w:rsidR="008B5E66" w:rsidRPr="007D5BD9" w:rsidRDefault="008B5E66" w:rsidP="007D5BD9">
      <w:pPr>
        <w:pStyle w:val="Listenabsatz"/>
        <w:numPr>
          <w:ilvl w:val="0"/>
          <w:numId w:val="1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Быстрое появление всходов</w:t>
      </w:r>
    </w:p>
    <w:p w14:paraId="33A19A94" w14:textId="0B252808" w:rsidR="00C46CAE" w:rsidRPr="007D5BD9" w:rsidRDefault="008B5E66" w:rsidP="007D5BD9">
      <w:pPr>
        <w:pStyle w:val="Listenabsatz"/>
        <w:numPr>
          <w:ilvl w:val="0"/>
          <w:numId w:val="18"/>
        </w:numPr>
        <w:spacing w:after="120" w:line="360" w:lineRule="auto"/>
        <w:ind w:right="1695"/>
        <w:rPr>
          <w:rFonts w:ascii="Arial" w:eastAsia="Arial" w:hAnsi="Arial" w:cs="Arial"/>
          <w:noProof/>
        </w:rPr>
      </w:pPr>
      <w:r>
        <w:rPr>
          <w:rFonts w:ascii="Arial" w:hAnsi="Arial"/>
        </w:rPr>
        <w:t>Каждый распределяемый материал дозируется по отдельности – идеальное дозирование</w:t>
      </w:r>
    </w:p>
    <w:p w14:paraId="3EB67227" w14:textId="629A3CB2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0781523" w14:textId="77777777" w:rsidR="000678F3" w:rsidRDefault="000678F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39A0A87" w14:textId="1B6BF598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7B98477" wp14:editId="042733A6">
            <wp:extent cx="3477600" cy="2880000"/>
            <wp:effectExtent l="0" t="0" r="2540" b="3175"/>
            <wp:docPr id="142374811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748113" name="Grafik 142374811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FC14F" w14:textId="5DBCBC80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Разделенный бункер </w:t>
      </w: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 4000-C Special позволяет одновременно вносить в почву два вида распределяемого материала </w:t>
      </w:r>
      <w:proofErr w:type="spellStart"/>
      <w:r>
        <w:rPr>
          <w:rFonts w:ascii="Arial" w:hAnsi="Arial"/>
        </w:rPr>
        <w:t>потонологии</w:t>
      </w:r>
      <w:proofErr w:type="spellEnd"/>
      <w:r>
        <w:rPr>
          <w:rFonts w:ascii="Arial" w:hAnsi="Arial"/>
        </w:rPr>
        <w:t xml:space="preserve"> Single-</w:t>
      </w:r>
      <w:proofErr w:type="spellStart"/>
      <w:r>
        <w:rPr>
          <w:rFonts w:ascii="Arial" w:hAnsi="Arial"/>
        </w:rPr>
        <w:t>Shoot</w:t>
      </w:r>
      <w:proofErr w:type="spellEnd"/>
      <w:r>
        <w:rPr>
          <w:rFonts w:ascii="Arial" w:hAnsi="Arial"/>
        </w:rPr>
        <w:t>.</w:t>
      </w:r>
    </w:p>
    <w:p w14:paraId="0BB10E90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D14F60E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0CFE45" w14:textId="3C77BD4E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8A6314D" wp14:editId="0DB56D1A">
            <wp:extent cx="4053600" cy="2880000"/>
            <wp:effectExtent l="0" t="0" r="0" b="3175"/>
            <wp:docPr id="74671078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710786" name="Grafik 74671078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BF366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 4000-C Special с двойным бункером в соотношении 70:30. Так можно по отдельности дозировать два различных материала.</w:t>
      </w:r>
    </w:p>
    <w:p w14:paraId="63A76FF6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2F12422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58068B" w14:textId="40CEF450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E7F8B02" wp14:editId="37172363">
            <wp:extent cx="4053600" cy="2880000"/>
            <wp:effectExtent l="0" t="0" r="0" b="3175"/>
            <wp:docPr id="163947270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472705" name="Grafik 163947270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91619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Оба вида распределяемого материала дозируются по отдельности посредством 2 дозирующих устройств и направляются по магистрали подачи к сегментной распределительной головке. Это дает преимущество в том, что дозирующую катушку можно выбрать отдельно для каждого вещества.</w:t>
      </w:r>
    </w:p>
    <w:p w14:paraId="0DDEF514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2F00EAD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D0DB42F" w14:textId="77777777" w:rsidR="00D9799A" w:rsidRDefault="00D9799A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0646C4D" w14:textId="2CEC58F8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21DE3F6" wp14:editId="7BAD0148">
            <wp:extent cx="5878800" cy="2880000"/>
            <wp:effectExtent l="0" t="0" r="1905" b="3175"/>
            <wp:docPr id="429858921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858921" name="Grafik 42985892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B1F1A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Single-</w:t>
      </w:r>
      <w:proofErr w:type="spellStart"/>
      <w:r>
        <w:rPr>
          <w:rFonts w:ascii="Arial" w:hAnsi="Arial"/>
          <w:b/>
        </w:rPr>
        <w:t>Shoot</w:t>
      </w:r>
      <w:proofErr w:type="spellEnd"/>
      <w:r>
        <w:rPr>
          <w:rFonts w:ascii="Arial" w:hAnsi="Arial"/>
          <w:b/>
        </w:rPr>
        <w:t>:</w:t>
      </w:r>
      <w:r>
        <w:rPr>
          <w:rFonts w:ascii="Arial" w:hAnsi="Arial"/>
        </w:rPr>
        <w:t xml:space="preserve"> Высев посевного материала с удобрениями в одном горизонте укладки</w:t>
      </w:r>
    </w:p>
    <w:p w14:paraId="0F9CC1AA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3062394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FE62296" w14:textId="2B4C5885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AECA781" wp14:editId="0DB1DE62">
            <wp:extent cx="5878800" cy="2880000"/>
            <wp:effectExtent l="0" t="0" r="1905" b="3175"/>
            <wp:docPr id="930453093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53093" name="Grafik 93045309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30CFC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Single-</w:t>
      </w:r>
      <w:proofErr w:type="spellStart"/>
      <w:r>
        <w:rPr>
          <w:rFonts w:ascii="Arial" w:hAnsi="Arial"/>
          <w:b/>
        </w:rPr>
        <w:t>Shoot</w:t>
      </w:r>
      <w:proofErr w:type="spellEnd"/>
      <w:r>
        <w:rPr>
          <w:rFonts w:ascii="Arial" w:hAnsi="Arial"/>
          <w:b/>
        </w:rPr>
        <w:t xml:space="preserve">: </w:t>
      </w:r>
      <w:r>
        <w:rPr>
          <w:rFonts w:ascii="Arial" w:hAnsi="Arial"/>
        </w:rPr>
        <w:t>Высев двух видов посевного материала в одном горизонте укладки</w:t>
      </w:r>
    </w:p>
    <w:p w14:paraId="1C4A0775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38D2602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17EACB8" w14:textId="4DE03ABC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E3A0F39" wp14:editId="74CA3DCD">
            <wp:extent cx="5878800" cy="4176000"/>
            <wp:effectExtent l="0" t="0" r="1905" b="2540"/>
            <wp:docPr id="663295209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295209" name="Grafik 66329520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800" cy="41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9E3B4" w14:textId="77777777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Высев двух видов посевного материала. Третье вещество дозируется с помощью распределителя Micro </w:t>
      </w:r>
      <w:proofErr w:type="spellStart"/>
      <w:r>
        <w:rPr>
          <w:rFonts w:ascii="Arial" w:hAnsi="Arial"/>
        </w:rPr>
        <w:t>plus</w:t>
      </w:r>
      <w:proofErr w:type="spellEnd"/>
      <w:r>
        <w:rPr>
          <w:rFonts w:ascii="Arial" w:hAnsi="Arial"/>
        </w:rPr>
        <w:t xml:space="preserve"> и интегрируется в магистраль подачи.</w:t>
      </w:r>
    </w:p>
    <w:p w14:paraId="09AA4C4E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76E85A6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96BA77F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C430620" w14:textId="7F2C4A3E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1291951" wp14:editId="404A1311">
            <wp:extent cx="3477600" cy="2880000"/>
            <wp:effectExtent l="0" t="0" r="2540" b="3175"/>
            <wp:docPr id="580889265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889265" name="Grafik 58088926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69DCE" w14:textId="003F5D14" w:rsidR="008B5E66" w:rsidRPr="008B5E66" w:rsidRDefault="008B5E66" w:rsidP="008B5E66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Centaya</w:t>
      </w:r>
      <w:proofErr w:type="spellEnd"/>
      <w:r>
        <w:rPr>
          <w:rFonts w:ascii="Arial" w:hAnsi="Arial"/>
        </w:rPr>
        <w:t xml:space="preserve"> 4000-C Special в комбинации с ротационным культиватором KG 4001, почва хорошо разрыхляется и перемешивается, посевной материал аккуратно размещается в посевном горизонте двухдисковым сошником </w:t>
      </w:r>
      <w:proofErr w:type="spellStart"/>
      <w:r>
        <w:rPr>
          <w:rFonts w:ascii="Arial" w:hAnsi="Arial"/>
        </w:rPr>
        <w:t>TwinTeC</w:t>
      </w:r>
      <w:proofErr w:type="spellEnd"/>
      <w:r>
        <w:rPr>
          <w:rFonts w:ascii="Arial" w:hAnsi="Arial"/>
        </w:rPr>
        <w:t>.</w:t>
      </w:r>
    </w:p>
    <w:p w14:paraId="17EA5076" w14:textId="77777777" w:rsidR="008B5E66" w:rsidRDefault="008B5E66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13D630" w14:textId="77777777" w:rsidR="00C46CAE" w:rsidRDefault="00C46CA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29DD9FC" w14:textId="77777777" w:rsidR="005A5258" w:rsidRDefault="005A5258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1878F4C9" w14:textId="77777777" w:rsidR="00D9799A" w:rsidRDefault="00D9799A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711F3FC" w14:textId="77777777" w:rsidR="00D9799A" w:rsidRDefault="00D9799A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7BA46C1D" w14:textId="77777777" w:rsidR="00D9799A" w:rsidRDefault="00D9799A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FEAA1F2" w14:textId="77777777" w:rsidR="00D9799A" w:rsidRDefault="00D9799A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167FBF32" w14:textId="77777777" w:rsidR="00D9799A" w:rsidRDefault="00D9799A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BC0ACDE" w14:textId="77777777" w:rsidR="00D9799A" w:rsidRDefault="00D9799A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6517D34" w14:textId="77777777" w:rsidR="00D9799A" w:rsidRDefault="00D9799A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0BB1957" w14:textId="77777777" w:rsidR="00D9799A" w:rsidRDefault="00D9799A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B55C841" w14:textId="77777777" w:rsidR="00D9799A" w:rsidRDefault="00D9799A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C88FBCD" w14:textId="77777777" w:rsidR="00D9799A" w:rsidRPr="00F4316E" w:rsidRDefault="00D9799A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7F8944CC" w14:textId="7333B4DA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 с головным офисом в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Хасберген-Гасте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6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291AFF6E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4C245699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4A702ABC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AA15614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46C0B9B6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D294DF" w14:textId="77777777" w:rsidR="00E42AA6" w:rsidRDefault="00E42AA6">
      <w:r>
        <w:separator/>
      </w:r>
    </w:p>
  </w:endnote>
  <w:endnote w:type="continuationSeparator" w:id="0">
    <w:p w14:paraId="2F40D2D6" w14:textId="77777777" w:rsidR="00E42AA6" w:rsidRDefault="00E42A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D802F3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Телефон +49 (0)5405 </w:t>
                          </w:r>
                          <w:proofErr w:type="gramStart"/>
                          <w:r>
                            <w:rPr>
                              <w:rFonts w:ascii="Arial" w:hAnsi="Arial"/>
                              <w:sz w:val="20"/>
                            </w:rPr>
                            <w:t>501-0</w:t>
                          </w:r>
                          <w:proofErr w:type="gram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D802F3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07F575" w14:textId="77777777" w:rsidR="00E42AA6" w:rsidRDefault="00E42AA6">
      <w:r>
        <w:separator/>
      </w:r>
    </w:p>
  </w:footnote>
  <w:footnote w:type="continuationSeparator" w:id="0">
    <w:p w14:paraId="310EDEC7" w14:textId="77777777" w:rsidR="00E42AA6" w:rsidRDefault="00E42A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Normal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048516D"/>
    <w:multiLevelType w:val="hybridMultilevel"/>
    <w:tmpl w:val="F7B0D0B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43730AB"/>
    <w:multiLevelType w:val="hybridMultilevel"/>
    <w:tmpl w:val="BAE2E87A"/>
    <w:lvl w:ilvl="0" w:tplc="9DA2CDD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365B7AE3"/>
    <w:multiLevelType w:val="hybridMultilevel"/>
    <w:tmpl w:val="484CEF2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4C85467F"/>
    <w:multiLevelType w:val="hybridMultilevel"/>
    <w:tmpl w:val="82600F5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60EB6C75"/>
    <w:multiLevelType w:val="hybridMultilevel"/>
    <w:tmpl w:val="208AB21E"/>
    <w:lvl w:ilvl="0" w:tplc="21E6B55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69896D9E"/>
    <w:multiLevelType w:val="hybridMultilevel"/>
    <w:tmpl w:val="28A4759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7C65124A"/>
    <w:multiLevelType w:val="hybridMultilevel"/>
    <w:tmpl w:val="3A56543C"/>
    <w:lvl w:ilvl="0" w:tplc="6338FA3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496774602">
    <w:abstractNumId w:val="9"/>
  </w:num>
  <w:num w:numId="2" w16cid:durableId="1242257399">
    <w:abstractNumId w:val="0"/>
  </w:num>
  <w:num w:numId="3" w16cid:durableId="1943487254">
    <w:abstractNumId w:val="6"/>
  </w:num>
  <w:num w:numId="4" w16cid:durableId="298925856">
    <w:abstractNumId w:val="7"/>
  </w:num>
  <w:num w:numId="5" w16cid:durableId="814486802">
    <w:abstractNumId w:val="4"/>
  </w:num>
  <w:num w:numId="6" w16cid:durableId="1508862883">
    <w:abstractNumId w:val="1"/>
  </w:num>
  <w:num w:numId="7" w16cid:durableId="322050854">
    <w:abstractNumId w:val="14"/>
  </w:num>
  <w:num w:numId="8" w16cid:durableId="1915890191">
    <w:abstractNumId w:val="13"/>
  </w:num>
  <w:num w:numId="9" w16cid:durableId="772555136">
    <w:abstractNumId w:val="5"/>
  </w:num>
  <w:num w:numId="10" w16cid:durableId="434595757">
    <w:abstractNumId w:val="10"/>
  </w:num>
  <w:num w:numId="11" w16cid:durableId="216210895">
    <w:abstractNumId w:val="11"/>
  </w:num>
  <w:num w:numId="12" w16cid:durableId="1482581432">
    <w:abstractNumId w:val="12"/>
  </w:num>
  <w:num w:numId="13" w16cid:durableId="1299997125">
    <w:abstractNumId w:val="17"/>
  </w:num>
  <w:num w:numId="14" w16cid:durableId="196889358">
    <w:abstractNumId w:val="8"/>
  </w:num>
  <w:num w:numId="15" w16cid:durableId="1815876838">
    <w:abstractNumId w:val="3"/>
  </w:num>
  <w:num w:numId="16" w16cid:durableId="834222170">
    <w:abstractNumId w:val="16"/>
  </w:num>
  <w:num w:numId="17" w16cid:durableId="928269330">
    <w:abstractNumId w:val="15"/>
  </w:num>
  <w:num w:numId="18" w16cid:durableId="77274300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678F3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258"/>
    <w:rsid w:val="005A5535"/>
    <w:rsid w:val="005A5606"/>
    <w:rsid w:val="005A5731"/>
    <w:rsid w:val="005A5A06"/>
    <w:rsid w:val="005A5FEF"/>
    <w:rsid w:val="005A603E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1BE9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530B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5BD9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0739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5E66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17483"/>
    <w:rsid w:val="00917DCA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4BAC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4E93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E91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2F3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99A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AA6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4D5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944BA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9" Type="http://schemas.openxmlformats.org/officeDocument/2006/relationships/theme" Target="theme/theme1.xml"/><Relationship Id="rId21" Type="http://schemas.openxmlformats.org/officeDocument/2006/relationships/image" Target="media/image10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amazone.ru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36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footer" Target="footer2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23E82F-9AA6-4BC0-9561-2030E1ABBC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797</Words>
  <Characters>5026</Characters>
  <Application>Microsoft Office Word</Application>
  <DocSecurity>0</DocSecurity>
  <Lines>41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5812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2023-09-06T14:18:00Z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