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EA582A" w14:textId="77CC7B26" w:rsidR="00161FDD" w:rsidRPr="00B63D45" w:rsidRDefault="00186275" w:rsidP="00B63D45">
      <w:pPr>
        <w:spacing w:after="120" w:line="360" w:lineRule="auto"/>
        <w:ind w:left="567" w:right="1695"/>
        <w:rPr>
          <w:rFonts w:ascii="Arial" w:hAnsi="Arial" w:cs="Arial"/>
          <w:b/>
          <w:bCs/>
          <w:sz w:val="28"/>
          <w:szCs w:val="28"/>
        </w:rPr>
      </w:pPr>
      <w:r>
        <w:rPr>
          <w:rFonts w:ascii="Arial" w:hAnsi="Arial"/>
          <w:b/>
          <w:sz w:val="28"/>
        </w:rPr>
        <w:t>Nouveau semoir traîné Cirrus 9004-2C Grand</w:t>
      </w:r>
    </w:p>
    <w:p w14:paraId="6A8F3EE1" w14:textId="1E74930D" w:rsidR="00B63D45" w:rsidRDefault="00186275" w:rsidP="00B63D45">
      <w:pPr>
        <w:spacing w:after="120" w:line="360" w:lineRule="auto"/>
        <w:ind w:left="567" w:right="1695"/>
        <w:rPr>
          <w:rFonts w:ascii="Arial" w:eastAsia="Arial" w:hAnsi="Arial" w:cs="Arial"/>
          <w:b/>
          <w:bCs/>
        </w:rPr>
      </w:pPr>
      <w:r>
        <w:rPr>
          <w:rFonts w:ascii="Arial" w:hAnsi="Arial"/>
          <w:b/>
        </w:rPr>
        <w:t xml:space="preserve">Semoir pour les exploitations agricoles de taille importante et les entrepreneurs </w:t>
      </w:r>
    </w:p>
    <w:p w14:paraId="1CC51B11" w14:textId="77777777" w:rsidR="00B63D45" w:rsidRPr="00186275" w:rsidRDefault="00B63D45" w:rsidP="00B63D45">
      <w:pPr>
        <w:spacing w:after="120" w:line="360" w:lineRule="auto"/>
        <w:ind w:left="567" w:right="1695"/>
        <w:rPr>
          <w:rFonts w:ascii="Arial" w:eastAsia="Arial" w:hAnsi="Arial" w:cs="Arial"/>
          <w:b/>
          <w:bCs/>
        </w:rPr>
      </w:pPr>
    </w:p>
    <w:p w14:paraId="5F5B3C78"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AMAZONE élargit sa gamme de semoirs avec le nouveau semoir traîné Cirrus 9004-2C Grand. La machine est proposée en largeur de travail de 9 m avec un interligne de 16,6 cm. </w:t>
      </w:r>
    </w:p>
    <w:p w14:paraId="4A2BB8F6" w14:textId="77777777" w:rsidR="00186275" w:rsidRPr="00186275" w:rsidRDefault="00186275" w:rsidP="00186275">
      <w:pPr>
        <w:spacing w:after="120" w:line="360" w:lineRule="auto"/>
        <w:ind w:left="567" w:right="1695"/>
        <w:rPr>
          <w:rFonts w:ascii="Arial" w:eastAsia="Arial" w:hAnsi="Arial" w:cs="Arial"/>
        </w:rPr>
      </w:pPr>
    </w:p>
    <w:p w14:paraId="0A638864" w14:textId="77777777" w:rsidR="00186275" w:rsidRPr="00186275" w:rsidRDefault="00186275" w:rsidP="00186275">
      <w:pPr>
        <w:spacing w:after="120" w:line="360" w:lineRule="auto"/>
        <w:ind w:left="567" w:right="1695"/>
        <w:rPr>
          <w:rFonts w:ascii="Arial" w:eastAsia="Arial" w:hAnsi="Arial" w:cs="Arial"/>
        </w:rPr>
      </w:pPr>
      <w:r>
        <w:rPr>
          <w:rFonts w:ascii="Arial" w:hAnsi="Arial"/>
        </w:rPr>
        <w:t>Au premier coup d'œil, le semoir se distingue par son design frappant. Il se définit essentiellement par sa grande trémie de semence et sa tête de distribution reconnaissable entre toutes.</w:t>
      </w:r>
    </w:p>
    <w:p w14:paraId="277421B2" w14:textId="77777777" w:rsidR="00186275" w:rsidRPr="00186275" w:rsidRDefault="00186275" w:rsidP="00186275">
      <w:pPr>
        <w:spacing w:after="120" w:line="360" w:lineRule="auto"/>
        <w:ind w:left="567" w:right="1695"/>
        <w:rPr>
          <w:rFonts w:ascii="Arial" w:eastAsia="Arial" w:hAnsi="Arial" w:cs="Arial"/>
        </w:rPr>
      </w:pPr>
    </w:p>
    <w:p w14:paraId="2D3D7A70" w14:textId="77777777" w:rsidR="00186275" w:rsidRDefault="00186275" w:rsidP="00186275">
      <w:pPr>
        <w:spacing w:after="120" w:line="360" w:lineRule="auto"/>
        <w:ind w:left="567" w:right="1695"/>
        <w:rPr>
          <w:rFonts w:ascii="Arial" w:eastAsia="Arial" w:hAnsi="Arial" w:cs="Arial"/>
        </w:rPr>
      </w:pPr>
      <w:r>
        <w:rPr>
          <w:rFonts w:ascii="Arial" w:hAnsi="Arial"/>
        </w:rPr>
        <w:t xml:space="preserve">Conçue pour répondre aux problématiques actuelles et futures des agriculteurs, la machine permet de combiner un semis précis, une utilisation flexible pour des performances de travail intéressantes. Grâce à son concept modulable aux différentes techniques culturales, cette machine ouvre une porte sur l'agriculture du futur. </w:t>
      </w:r>
    </w:p>
    <w:p w14:paraId="6E38E982" w14:textId="77777777" w:rsidR="00186275" w:rsidRPr="00186275" w:rsidRDefault="00186275" w:rsidP="00186275">
      <w:pPr>
        <w:spacing w:after="120" w:line="360" w:lineRule="auto"/>
        <w:ind w:left="567" w:right="1695"/>
        <w:rPr>
          <w:rFonts w:ascii="Arial" w:eastAsia="Arial" w:hAnsi="Arial" w:cs="Arial"/>
        </w:rPr>
      </w:pPr>
    </w:p>
    <w:p w14:paraId="2A8EED2F"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Solutions pour s’adapter aux différentes conditions de travail</w:t>
      </w:r>
    </w:p>
    <w:p w14:paraId="482DFD63" w14:textId="48C41471" w:rsidR="00186275" w:rsidRPr="00186275" w:rsidRDefault="00186275" w:rsidP="00186275">
      <w:pPr>
        <w:spacing w:after="120" w:line="360" w:lineRule="auto"/>
        <w:ind w:left="567" w:right="1695"/>
        <w:rPr>
          <w:rFonts w:ascii="Arial" w:eastAsia="Arial" w:hAnsi="Arial" w:cs="Arial"/>
        </w:rPr>
      </w:pPr>
      <w:r>
        <w:rPr>
          <w:rFonts w:ascii="Arial" w:hAnsi="Arial"/>
        </w:rPr>
        <w:t xml:space="preserve">En série, le Cirrus 9004-2C Grand est équipé d’une trémie à deux compartiments 60 : 40. La capacité totale de la trémie de 5.750 l a été optimisée pour les </w:t>
      </w:r>
      <w:proofErr w:type="spellStart"/>
      <w:r>
        <w:rPr>
          <w:rFonts w:ascii="Arial" w:hAnsi="Arial"/>
        </w:rPr>
        <w:t>bigbags</w:t>
      </w:r>
      <w:proofErr w:type="spellEnd"/>
      <w:r>
        <w:rPr>
          <w:rFonts w:ascii="Arial" w:hAnsi="Arial"/>
        </w:rPr>
        <w:t xml:space="preserve">. La totalité du volume peut ainsi être exploitée. La trémie est toujours en mesure de recevoir le contenu complet d’un </w:t>
      </w:r>
      <w:proofErr w:type="spellStart"/>
      <w:r>
        <w:rPr>
          <w:rFonts w:ascii="Arial" w:hAnsi="Arial"/>
        </w:rPr>
        <w:t>bigbag</w:t>
      </w:r>
      <w:proofErr w:type="spellEnd"/>
      <w:r>
        <w:rPr>
          <w:rFonts w:ascii="Arial" w:hAnsi="Arial"/>
        </w:rPr>
        <w:t xml:space="preserve">, même en cas de reliquat de fond de trémie important. La logistique de remplissage de semence est simplifiée. </w:t>
      </w:r>
    </w:p>
    <w:p w14:paraId="275EAC96" w14:textId="77777777" w:rsidR="00186275" w:rsidRPr="00186275" w:rsidRDefault="00186275" w:rsidP="00186275">
      <w:pPr>
        <w:spacing w:after="120" w:line="360" w:lineRule="auto"/>
        <w:ind w:left="567" w:right="1695"/>
        <w:rPr>
          <w:rFonts w:ascii="Arial" w:eastAsia="Arial" w:hAnsi="Arial" w:cs="Arial"/>
        </w:rPr>
      </w:pPr>
    </w:p>
    <w:p w14:paraId="760FC65D"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La trémie deux compartiments permet un dosage distinct de différentes semences ou engrais. Les deux compartiments peuvent aussi être remplis avec un seul produit pour un débit de chantier maximal. L’alimentation en semences </w:t>
      </w:r>
      <w:r>
        <w:rPr>
          <w:rFonts w:ascii="Arial" w:hAnsi="Arial"/>
        </w:rPr>
        <w:lastRenderedPageBreak/>
        <w:t xml:space="preserve">est assurée par un système sous pression doté d’un conduit d’alimentation gros volume. Les performances peuvent atteindre 400 kg/ha à une vitesse de travail de 15 km/h. De plus, la faible puissance requise par la turbine hydraulique souligne l’efficacité de la machine. Un </w:t>
      </w:r>
      <w:proofErr w:type="spellStart"/>
      <w:r>
        <w:rPr>
          <w:rFonts w:ascii="Arial" w:hAnsi="Arial"/>
        </w:rPr>
        <w:t>TwinTerminal</w:t>
      </w:r>
      <w:proofErr w:type="spellEnd"/>
      <w:r>
        <w:rPr>
          <w:rFonts w:ascii="Arial" w:hAnsi="Arial"/>
        </w:rPr>
        <w:t xml:space="preserve"> est disponible pour un étalonnage précis des doseurs.</w:t>
      </w:r>
    </w:p>
    <w:p w14:paraId="5639CFC0" w14:textId="77777777" w:rsidR="00186275" w:rsidRPr="00186275" w:rsidRDefault="00186275" w:rsidP="00186275">
      <w:pPr>
        <w:spacing w:after="120" w:line="360" w:lineRule="auto"/>
        <w:ind w:left="567" w:right="1695"/>
        <w:rPr>
          <w:rFonts w:ascii="Arial" w:eastAsia="Arial" w:hAnsi="Arial" w:cs="Arial"/>
        </w:rPr>
      </w:pPr>
    </w:p>
    <w:p w14:paraId="02E3DD3C" w14:textId="77777777" w:rsidR="00186275" w:rsidRDefault="00186275" w:rsidP="00186275">
      <w:pPr>
        <w:spacing w:after="120" w:line="360" w:lineRule="auto"/>
        <w:ind w:left="567" w:right="1695"/>
        <w:rPr>
          <w:rFonts w:ascii="Arial" w:eastAsia="Arial" w:hAnsi="Arial" w:cs="Arial"/>
        </w:rPr>
      </w:pPr>
      <w:r>
        <w:rPr>
          <w:rFonts w:ascii="Arial" w:hAnsi="Arial"/>
        </w:rPr>
        <w:t xml:space="preserve">Pour permettre un chargement plus facile de la machine, l’accès est facilité grâce à un repliage unilatéral. </w:t>
      </w:r>
    </w:p>
    <w:p w14:paraId="2E86A635" w14:textId="77777777" w:rsidR="00186275" w:rsidRPr="00186275" w:rsidRDefault="00186275" w:rsidP="00186275">
      <w:pPr>
        <w:spacing w:after="120" w:line="360" w:lineRule="auto"/>
        <w:ind w:left="567" w:right="1695"/>
        <w:rPr>
          <w:rFonts w:ascii="Arial" w:eastAsia="Arial" w:hAnsi="Arial" w:cs="Arial"/>
        </w:rPr>
      </w:pPr>
    </w:p>
    <w:p w14:paraId="7AAAEA29"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Flexibilité pour répondre à différentes méthodes de travail</w:t>
      </w:r>
    </w:p>
    <w:p w14:paraId="09E61CEA"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Les produits des deux compartiments des trémies passent dans le même conduit en procédé Single-Shoot et sont implantés dans le même rang de semis. </w:t>
      </w:r>
    </w:p>
    <w:p w14:paraId="5BEFE458" w14:textId="77777777" w:rsidR="00186275" w:rsidRPr="00186275" w:rsidRDefault="00186275" w:rsidP="00186275">
      <w:pPr>
        <w:spacing w:after="120" w:line="360" w:lineRule="auto"/>
        <w:ind w:left="567" w:right="1695"/>
        <w:rPr>
          <w:rFonts w:ascii="Arial" w:eastAsia="Arial" w:hAnsi="Arial" w:cs="Arial"/>
        </w:rPr>
      </w:pPr>
    </w:p>
    <w:p w14:paraId="1D17EBAC"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La nouvelle tête de distribution assure une bonne répartition transversale. Équipée d’une coupure individuelle de rang, cette tête garantit fiabilité avec économie de semence et d’engrais à la clé. La coupure précise favorise une uniformité des cultures, en particulier dans les zones de recroisement. Grâce à ce système, les recroisements sont limités à moins de 1 % de la parcelle. </w:t>
      </w:r>
    </w:p>
    <w:p w14:paraId="39B8E7F2" w14:textId="77777777" w:rsidR="00186275" w:rsidRPr="00186275" w:rsidRDefault="00186275" w:rsidP="00186275">
      <w:pPr>
        <w:spacing w:after="120" w:line="360" w:lineRule="auto"/>
        <w:ind w:left="567" w:right="1695"/>
        <w:rPr>
          <w:rFonts w:ascii="Arial" w:eastAsia="Arial" w:hAnsi="Arial" w:cs="Arial"/>
        </w:rPr>
      </w:pPr>
    </w:p>
    <w:p w14:paraId="05A70D2E"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Pour choisir le </w:t>
      </w:r>
      <w:proofErr w:type="spellStart"/>
      <w:r>
        <w:rPr>
          <w:rFonts w:ascii="Arial" w:hAnsi="Arial"/>
        </w:rPr>
        <w:t>jalonnage</w:t>
      </w:r>
      <w:proofErr w:type="spellEnd"/>
      <w:r>
        <w:rPr>
          <w:rFonts w:ascii="Arial" w:hAnsi="Arial"/>
        </w:rPr>
        <w:t xml:space="preserve">, la tête de distribution est ajustée facilement via le terminal ISOBUS en fonction du type de </w:t>
      </w:r>
      <w:proofErr w:type="spellStart"/>
      <w:r>
        <w:rPr>
          <w:rFonts w:ascii="Arial" w:hAnsi="Arial"/>
        </w:rPr>
        <w:t>jalonnage</w:t>
      </w:r>
      <w:proofErr w:type="spellEnd"/>
      <w:r>
        <w:rPr>
          <w:rFonts w:ascii="Arial" w:hAnsi="Arial"/>
        </w:rPr>
        <w:t xml:space="preserve"> souhaité, symétriques et asymétriques ainsi que la largeur de voie. Aucune intervention manuelle n’est nécessaire. </w:t>
      </w:r>
    </w:p>
    <w:p w14:paraId="74B13E27" w14:textId="77777777" w:rsidR="00186275" w:rsidRPr="00186275" w:rsidRDefault="00186275" w:rsidP="00186275">
      <w:pPr>
        <w:spacing w:after="120" w:line="360" w:lineRule="auto"/>
        <w:ind w:left="567" w:right="1695"/>
        <w:rPr>
          <w:rFonts w:ascii="Arial" w:eastAsia="Arial" w:hAnsi="Arial" w:cs="Arial"/>
        </w:rPr>
      </w:pPr>
    </w:p>
    <w:p w14:paraId="4EAA50F5" w14:textId="77777777" w:rsidR="00186275" w:rsidRDefault="00186275" w:rsidP="00186275">
      <w:pPr>
        <w:spacing w:after="120" w:line="360" w:lineRule="auto"/>
        <w:ind w:left="567" w:right="1695"/>
        <w:rPr>
          <w:rFonts w:ascii="Arial" w:eastAsia="Arial" w:hAnsi="Arial" w:cs="Arial"/>
        </w:rPr>
      </w:pPr>
      <w:r>
        <w:rPr>
          <w:rFonts w:ascii="Arial" w:hAnsi="Arial"/>
        </w:rPr>
        <w:t xml:space="preserve">Lorsque les rangs se ferment, la vitesse de rotation du doseur est adaptée. Le surplus de semence est alors dévié vers un retour dans le conduit de semence tandis que l’air continue à s’échapper vers les éléments semeurs. Ainsi la pression de l’air reste constante dans les tuyaux de descentes jusqu’à la mise </w:t>
      </w:r>
      <w:r>
        <w:rPr>
          <w:rFonts w:ascii="Arial" w:hAnsi="Arial"/>
        </w:rPr>
        <w:lastRenderedPageBreak/>
        <w:t xml:space="preserve">en terre. Cette particularité évite le phénomène de rebond de la graine une fois dans le sillon de semis. Ainsi, il reste toujours de la semence dans la tête de distribution qui est guidée vers les éléments semeurs une fois la machine baissée en position travail. Une répartition optimale des produits est garantie sans aucun </w:t>
      </w:r>
      <w:proofErr w:type="spellStart"/>
      <w:r>
        <w:rPr>
          <w:rFonts w:ascii="Arial" w:hAnsi="Arial"/>
        </w:rPr>
        <w:t>prédosage</w:t>
      </w:r>
      <w:proofErr w:type="spellEnd"/>
      <w:r>
        <w:rPr>
          <w:rFonts w:ascii="Arial" w:hAnsi="Arial"/>
        </w:rPr>
        <w:t>, jusque dans les moindres recoins du champ.</w:t>
      </w:r>
    </w:p>
    <w:p w14:paraId="51AD6366" w14:textId="77777777" w:rsidR="00186275" w:rsidRPr="00186275" w:rsidRDefault="00186275" w:rsidP="00186275">
      <w:pPr>
        <w:spacing w:after="120" w:line="360" w:lineRule="auto"/>
        <w:ind w:left="567" w:right="1695"/>
        <w:rPr>
          <w:rFonts w:ascii="Arial" w:eastAsia="Arial" w:hAnsi="Arial" w:cs="Arial"/>
        </w:rPr>
      </w:pPr>
    </w:p>
    <w:p w14:paraId="76F0AB54"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 xml:space="preserve">Précision sur toute la largeur </w:t>
      </w:r>
    </w:p>
    <w:p w14:paraId="09E9BE0A"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Pour une levée homogène, il faut une implantation régulière et précise en profondeur. Le double disque </w:t>
      </w:r>
      <w:proofErr w:type="spellStart"/>
      <w:r>
        <w:rPr>
          <w:rFonts w:ascii="Arial" w:hAnsi="Arial"/>
        </w:rPr>
        <w:t>TwinTeC</w:t>
      </w:r>
      <w:proofErr w:type="spellEnd"/>
      <w:r>
        <w:rPr>
          <w:rFonts w:ascii="Arial" w:hAnsi="Arial"/>
        </w:rPr>
        <w:t xml:space="preserve"> plus se caractérise par son grand diamètre et sa pression de terrage jusqu’à 100 kg. Même à des vitesses d’avancement élevées, les disques se démarquent par leur stabilité. La combinaison de la forme et de la pression au sol de cet élément </w:t>
      </w:r>
      <w:proofErr w:type="gramStart"/>
      <w:r>
        <w:rPr>
          <w:rFonts w:ascii="Arial" w:hAnsi="Arial"/>
        </w:rPr>
        <w:t>sont</w:t>
      </w:r>
      <w:proofErr w:type="gramEnd"/>
      <w:r>
        <w:rPr>
          <w:rFonts w:ascii="Arial" w:hAnsi="Arial"/>
        </w:rPr>
        <w:t xml:space="preserve"> la clé d’une qualité de semis homogène associée à un débit de chantier performant.</w:t>
      </w:r>
    </w:p>
    <w:p w14:paraId="672C374F" w14:textId="77777777" w:rsidR="00186275" w:rsidRPr="00186275" w:rsidRDefault="00186275" w:rsidP="00186275">
      <w:pPr>
        <w:spacing w:after="120" w:line="360" w:lineRule="auto"/>
        <w:ind w:left="567" w:right="1695"/>
        <w:rPr>
          <w:rFonts w:ascii="Arial" w:eastAsia="Arial" w:hAnsi="Arial" w:cs="Arial"/>
        </w:rPr>
      </w:pPr>
    </w:p>
    <w:p w14:paraId="2652BBF3" w14:textId="77777777" w:rsidR="00186275" w:rsidRDefault="00186275" w:rsidP="00186275">
      <w:pPr>
        <w:spacing w:after="120" w:line="360" w:lineRule="auto"/>
        <w:ind w:left="567" w:right="1695"/>
        <w:rPr>
          <w:rFonts w:ascii="Arial" w:eastAsia="Arial" w:hAnsi="Arial" w:cs="Arial"/>
        </w:rPr>
      </w:pPr>
      <w:r>
        <w:rPr>
          <w:rFonts w:ascii="Arial" w:hAnsi="Arial"/>
        </w:rPr>
        <w:t xml:space="preserve">Le réglage de la pression de terrage et de la profondeur de semis se fait depuis le terminal en cabine et permet de s’adapter facilement en fonction des différentes conditions de sol. Le réglage est convivial depuis le terminal ISOBUS. Pas besoin de tourner des manivelles ou de positionner des clips. Ce réglage plus facile permet de réagir rapidement aux différentes conditions d’utilisation avec un résultat positif assurant des cultures avec un développement régulier dans toute la parcelle. </w:t>
      </w:r>
    </w:p>
    <w:p w14:paraId="2384A2A8" w14:textId="77777777" w:rsidR="00186275" w:rsidRPr="00186275" w:rsidRDefault="00186275" w:rsidP="00186275">
      <w:pPr>
        <w:spacing w:after="120" w:line="360" w:lineRule="auto"/>
        <w:ind w:left="567" w:right="1695"/>
        <w:rPr>
          <w:rFonts w:ascii="Arial" w:eastAsia="Arial" w:hAnsi="Arial" w:cs="Arial"/>
        </w:rPr>
      </w:pPr>
    </w:p>
    <w:p w14:paraId="4F01227B"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Conditions de développement optimales pour les plantes</w:t>
      </w:r>
    </w:p>
    <w:p w14:paraId="7994B447"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Le savoir-faire AMAZONE du </w:t>
      </w:r>
      <w:proofErr w:type="spellStart"/>
      <w:r>
        <w:rPr>
          <w:rFonts w:ascii="Arial" w:hAnsi="Arial"/>
        </w:rPr>
        <w:t>rappuyage</w:t>
      </w:r>
      <w:proofErr w:type="spellEnd"/>
      <w:r>
        <w:rPr>
          <w:rFonts w:ascii="Arial" w:hAnsi="Arial"/>
        </w:rPr>
        <w:t xml:space="preserve"> différencié a aussi été intégré sur le Cirrus 04. Depuis 2004, ce principe, aussi connu sous la dénomination "rouleau Matrix", s’impose. Les pneus Matrix rappuient par bandes uniquement là où la semence sera implantée dans le sol. L’entre rang est moins rappuyé, favorisant un échange gazeux optimal et une pénétration rapide des précipitations dans le sol.</w:t>
      </w:r>
    </w:p>
    <w:p w14:paraId="58D501B3" w14:textId="77777777" w:rsidR="00186275" w:rsidRPr="00186275" w:rsidRDefault="00186275" w:rsidP="00186275">
      <w:pPr>
        <w:spacing w:after="120" w:line="360" w:lineRule="auto"/>
        <w:ind w:left="567" w:right="1695"/>
        <w:rPr>
          <w:rFonts w:ascii="Arial" w:eastAsia="Arial" w:hAnsi="Arial" w:cs="Arial"/>
        </w:rPr>
      </w:pPr>
    </w:p>
    <w:p w14:paraId="7EAF1E3E" w14:textId="77777777" w:rsidR="00186275" w:rsidRPr="00186275" w:rsidRDefault="00186275" w:rsidP="00186275">
      <w:pPr>
        <w:spacing w:after="120" w:line="360" w:lineRule="auto"/>
        <w:ind w:left="567" w:right="1695"/>
        <w:rPr>
          <w:rFonts w:ascii="Arial" w:eastAsia="Arial" w:hAnsi="Arial" w:cs="Arial"/>
        </w:rPr>
      </w:pPr>
      <w:r>
        <w:rPr>
          <w:rFonts w:ascii="Arial" w:hAnsi="Arial"/>
        </w:rPr>
        <w:lastRenderedPageBreak/>
        <w:t xml:space="preserve">La combinaison du diamètre important des pneumatiques et du profil particulier favorise un bon </w:t>
      </w:r>
      <w:proofErr w:type="spellStart"/>
      <w:r>
        <w:rPr>
          <w:rFonts w:ascii="Arial" w:hAnsi="Arial"/>
        </w:rPr>
        <w:t>auto-entraînement</w:t>
      </w:r>
      <w:proofErr w:type="spellEnd"/>
      <w:r>
        <w:rPr>
          <w:rFonts w:ascii="Arial" w:hAnsi="Arial"/>
        </w:rPr>
        <w:t xml:space="preserve"> et réduit la puissance nécessaire de la machine.</w:t>
      </w:r>
    </w:p>
    <w:p w14:paraId="1F283825" w14:textId="77777777" w:rsidR="00186275" w:rsidRPr="00186275" w:rsidRDefault="00186275" w:rsidP="00186275">
      <w:pPr>
        <w:spacing w:after="120" w:line="360" w:lineRule="auto"/>
        <w:ind w:left="567" w:right="1695"/>
        <w:rPr>
          <w:rFonts w:ascii="Arial" w:eastAsia="Arial" w:hAnsi="Arial" w:cs="Arial"/>
        </w:rPr>
      </w:pPr>
    </w:p>
    <w:p w14:paraId="64FEB496" w14:textId="77777777" w:rsidR="00186275" w:rsidRPr="00186275" w:rsidRDefault="00186275" w:rsidP="00186275">
      <w:pPr>
        <w:spacing w:after="120" w:line="360" w:lineRule="auto"/>
        <w:ind w:left="567" w:right="1695"/>
        <w:rPr>
          <w:rFonts w:ascii="Arial" w:eastAsia="Arial" w:hAnsi="Arial" w:cs="Arial"/>
        </w:rPr>
      </w:pPr>
      <w:r>
        <w:rPr>
          <w:rFonts w:ascii="Arial" w:hAnsi="Arial"/>
        </w:rPr>
        <w:t>Le rouleau Matrix monté en décalé avec les efface-traces en amont génère un lit de semis bien nivelé. Le risque de blocage de pierres est limité avec un effet positif sur la sécurité d’utilisation.</w:t>
      </w:r>
    </w:p>
    <w:p w14:paraId="1A62D3D5" w14:textId="77777777" w:rsidR="00186275" w:rsidRPr="00186275" w:rsidRDefault="00186275" w:rsidP="00186275">
      <w:pPr>
        <w:spacing w:after="120" w:line="360" w:lineRule="auto"/>
        <w:ind w:left="567" w:right="1695"/>
        <w:rPr>
          <w:rFonts w:ascii="Arial" w:eastAsia="Arial" w:hAnsi="Arial" w:cs="Arial"/>
        </w:rPr>
      </w:pPr>
    </w:p>
    <w:p w14:paraId="5C655716" w14:textId="77777777" w:rsidR="00186275" w:rsidRDefault="00186275" w:rsidP="00186275">
      <w:pPr>
        <w:spacing w:after="120" w:line="360" w:lineRule="auto"/>
        <w:ind w:left="567" w:right="1695"/>
        <w:rPr>
          <w:rFonts w:ascii="Arial" w:eastAsia="Arial" w:hAnsi="Arial" w:cs="Arial"/>
        </w:rPr>
      </w:pPr>
      <w:r>
        <w:rPr>
          <w:rFonts w:ascii="Arial" w:hAnsi="Arial"/>
        </w:rPr>
        <w:t xml:space="preserve">Le réglage depuis la cabine des disques de préparation du lit de semence favorise la rapidité de réaction face aux modifications des conditions de sol. Les dégagements importants </w:t>
      </w:r>
      <w:proofErr w:type="gramStart"/>
      <w:r>
        <w:rPr>
          <w:rFonts w:ascii="Arial" w:hAnsi="Arial"/>
        </w:rPr>
        <w:t>des différente éléments</w:t>
      </w:r>
      <w:proofErr w:type="gramEnd"/>
      <w:r>
        <w:rPr>
          <w:rFonts w:ascii="Arial" w:hAnsi="Arial"/>
        </w:rPr>
        <w:t xml:space="preserve"> de travail du sol contribuent à un flux de terre régulier pour créer un lit de semence optimal quelles que soient les conditions de sol.</w:t>
      </w:r>
    </w:p>
    <w:p w14:paraId="46020654" w14:textId="77777777" w:rsidR="00186275" w:rsidRPr="00186275" w:rsidRDefault="00186275" w:rsidP="00186275">
      <w:pPr>
        <w:spacing w:after="120" w:line="360" w:lineRule="auto"/>
        <w:ind w:left="567" w:right="1695"/>
        <w:rPr>
          <w:rFonts w:ascii="Arial" w:eastAsia="Arial" w:hAnsi="Arial" w:cs="Arial"/>
        </w:rPr>
      </w:pPr>
    </w:p>
    <w:p w14:paraId="36CAD67D"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Confortable</w:t>
      </w:r>
    </w:p>
    <w:p w14:paraId="1E9337AE" w14:textId="0C4FD4A8" w:rsidR="00186275" w:rsidRPr="00186275" w:rsidRDefault="00186275" w:rsidP="00186275">
      <w:pPr>
        <w:spacing w:after="120" w:line="360" w:lineRule="auto"/>
        <w:ind w:left="567" w:right="1695"/>
        <w:rPr>
          <w:rFonts w:ascii="Arial" w:eastAsia="Arial" w:hAnsi="Arial" w:cs="Arial"/>
        </w:rPr>
      </w:pPr>
      <w:r>
        <w:rPr>
          <w:rFonts w:ascii="Arial" w:hAnsi="Arial"/>
        </w:rPr>
        <w:t>La maniabilité de la machine est primordiale pour limiter les manœuvres notamment en fourrière, dans les pointes et les petites parcelles morcelées. Chacune des roues étant montée de manière indépendante, le Cirrus 9004-2C Grand se manœuvre avec un minimum d'effort en gros virages ou dans les coins de champ. Chaque roue se déplace librement par rapport aux autres et adapte sa vitesse et son sens de rotation permettant un angle de braquage jusqu’à 90°. Ce procédé de montage permet de protéger la machine des contraintes mécaniques et de l’usure rencontrées lors des demi-tours. L’accumulation de terre côté intérieur dans les virages est évitée. La qualité du lit de semence et le respect du sol sont garantis.</w:t>
      </w:r>
    </w:p>
    <w:p w14:paraId="10CBBF84" w14:textId="77777777" w:rsidR="00186275" w:rsidRPr="00186275" w:rsidRDefault="00186275" w:rsidP="00186275">
      <w:pPr>
        <w:spacing w:after="120" w:line="360" w:lineRule="auto"/>
        <w:ind w:left="567" w:right="1695"/>
        <w:rPr>
          <w:rFonts w:ascii="Arial" w:eastAsia="Arial" w:hAnsi="Arial" w:cs="Arial"/>
        </w:rPr>
      </w:pPr>
    </w:p>
    <w:p w14:paraId="737EF25B" w14:textId="77777777" w:rsidR="00186275" w:rsidRDefault="00186275" w:rsidP="00186275">
      <w:pPr>
        <w:spacing w:after="120" w:line="360" w:lineRule="auto"/>
        <w:ind w:left="567" w:right="1695"/>
        <w:rPr>
          <w:rFonts w:ascii="Arial" w:eastAsia="Arial" w:hAnsi="Arial" w:cs="Arial"/>
        </w:rPr>
      </w:pPr>
      <w:r>
        <w:rPr>
          <w:rFonts w:ascii="Arial" w:hAnsi="Arial"/>
        </w:rPr>
        <w:t xml:space="preserve">Le grand diamètre de pneumatique des roues MATRIX garantit des déplacements routiers agréables. Les 4 roues de transport assurent le confort du chauffeur sur route. La capacité de charge élevée des roues permet de relever la paire de roues centrales entre les 4 roues de transport. </w:t>
      </w:r>
    </w:p>
    <w:p w14:paraId="278FF6AB" w14:textId="77777777" w:rsidR="00186275" w:rsidRPr="00186275" w:rsidRDefault="00186275" w:rsidP="00186275">
      <w:pPr>
        <w:spacing w:after="120" w:line="360" w:lineRule="auto"/>
        <w:ind w:left="567" w:right="1695"/>
        <w:rPr>
          <w:rFonts w:ascii="Arial" w:eastAsia="Arial" w:hAnsi="Arial" w:cs="Arial"/>
        </w:rPr>
      </w:pPr>
    </w:p>
    <w:p w14:paraId="6824913B"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Un outil porté qui s’adapte</w:t>
      </w:r>
    </w:p>
    <w:p w14:paraId="5DE46E28" w14:textId="77777777" w:rsidR="00186275" w:rsidRPr="00186275" w:rsidRDefault="00186275" w:rsidP="00186275">
      <w:pPr>
        <w:spacing w:after="120" w:line="360" w:lineRule="auto"/>
        <w:ind w:left="567" w:right="1695"/>
        <w:rPr>
          <w:rFonts w:ascii="Arial" w:eastAsia="Arial" w:hAnsi="Arial" w:cs="Arial"/>
        </w:rPr>
      </w:pPr>
      <w:r>
        <w:rPr>
          <w:rFonts w:ascii="Arial" w:hAnsi="Arial"/>
        </w:rPr>
        <w:t>Cet efface-traces se positionne entre le Cirrus 04 et le tracteur, il permet d'ameublir les traces du tracteur si nécessaire. L’efface-traces travaille sans mélanger, il ameublit. En fourrière, les éléments de travail sont pivotés hydrauliquement pour s’effacer vers l’arrière. L’efface-traces peut être associé au rouleau Matrix.</w:t>
      </w:r>
    </w:p>
    <w:p w14:paraId="1F62D9B0" w14:textId="77777777" w:rsidR="00186275" w:rsidRPr="00186275" w:rsidRDefault="00186275" w:rsidP="00186275">
      <w:pPr>
        <w:spacing w:after="120" w:line="360" w:lineRule="auto"/>
        <w:ind w:left="567" w:right="1695"/>
        <w:rPr>
          <w:rFonts w:ascii="Arial" w:eastAsia="Arial" w:hAnsi="Arial" w:cs="Arial"/>
        </w:rPr>
      </w:pPr>
    </w:p>
    <w:p w14:paraId="2E45F0A8"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D’autres matériels destinés à la préparation du lit de semence, tels que le déchaumeur à disques indépendants </w:t>
      </w:r>
      <w:proofErr w:type="spellStart"/>
      <w:r>
        <w:rPr>
          <w:rFonts w:ascii="Arial" w:hAnsi="Arial"/>
        </w:rPr>
        <w:t>Catros</w:t>
      </w:r>
      <w:proofErr w:type="spellEnd"/>
      <w:r>
        <w:rPr>
          <w:rFonts w:ascii="Arial" w:hAnsi="Arial"/>
        </w:rPr>
        <w:t xml:space="preserve">, peuvent venir compléter au besoin la préparation de sol nécessaire. </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E0FEF76" w14:textId="268990A4" w:rsidR="00186275" w:rsidRPr="00B60D56" w:rsidRDefault="00186275" w:rsidP="00B60D56">
      <w:pPr>
        <w:pStyle w:val="Listenabsatz"/>
        <w:numPr>
          <w:ilvl w:val="0"/>
          <w:numId w:val="20"/>
        </w:numPr>
        <w:spacing w:after="120" w:line="360" w:lineRule="auto"/>
        <w:ind w:right="1695"/>
        <w:rPr>
          <w:rFonts w:ascii="Arial" w:eastAsia="Arial" w:hAnsi="Arial" w:cs="Arial"/>
        </w:rPr>
      </w:pPr>
      <w:r>
        <w:rPr>
          <w:rFonts w:ascii="Arial" w:hAnsi="Arial"/>
        </w:rPr>
        <w:t>Tête de distribution avec coupure individuelle de rang</w:t>
      </w:r>
    </w:p>
    <w:p w14:paraId="64624DC5" w14:textId="0087BA7F" w:rsidR="00186275" w:rsidRPr="00B60D56" w:rsidRDefault="00186275" w:rsidP="00B60D56">
      <w:pPr>
        <w:pStyle w:val="Listenabsatz"/>
        <w:numPr>
          <w:ilvl w:val="0"/>
          <w:numId w:val="20"/>
        </w:numPr>
        <w:spacing w:after="120" w:line="360" w:lineRule="auto"/>
        <w:ind w:right="1695"/>
        <w:rPr>
          <w:rFonts w:ascii="Arial" w:eastAsia="Arial" w:hAnsi="Arial" w:cs="Arial"/>
        </w:rPr>
      </w:pPr>
      <w:r>
        <w:rPr>
          <w:rFonts w:ascii="Arial" w:hAnsi="Arial"/>
        </w:rPr>
        <w:t xml:space="preserve">Capacité de trémie optimisée pour les </w:t>
      </w:r>
      <w:proofErr w:type="spellStart"/>
      <w:r>
        <w:rPr>
          <w:rFonts w:ascii="Arial" w:hAnsi="Arial"/>
        </w:rPr>
        <w:t>bigbags</w:t>
      </w:r>
      <w:proofErr w:type="spellEnd"/>
    </w:p>
    <w:p w14:paraId="2A4E587B" w14:textId="20BB9038" w:rsidR="00186275" w:rsidRPr="00B60D56" w:rsidRDefault="00186275" w:rsidP="00B60D56">
      <w:pPr>
        <w:pStyle w:val="Listenabsatz"/>
        <w:numPr>
          <w:ilvl w:val="0"/>
          <w:numId w:val="20"/>
        </w:numPr>
        <w:spacing w:after="120" w:line="360" w:lineRule="auto"/>
        <w:ind w:right="1695"/>
        <w:rPr>
          <w:rFonts w:ascii="Arial" w:eastAsia="Arial" w:hAnsi="Arial" w:cs="Arial"/>
        </w:rPr>
      </w:pPr>
      <w:r>
        <w:rPr>
          <w:rFonts w:ascii="Arial" w:hAnsi="Arial"/>
        </w:rPr>
        <w:t>Réglage facile en cabine de la profondeur de semis et de la pression de terrage par le biais du terminal ISOBUS</w:t>
      </w:r>
    </w:p>
    <w:p w14:paraId="3EB67227" w14:textId="6E9EFEBB" w:rsidR="009477A9" w:rsidRPr="00B60D56" w:rsidRDefault="00186275" w:rsidP="00B60D56">
      <w:pPr>
        <w:pStyle w:val="Listenabsatz"/>
        <w:numPr>
          <w:ilvl w:val="0"/>
          <w:numId w:val="20"/>
        </w:numPr>
        <w:spacing w:after="120" w:line="360" w:lineRule="auto"/>
        <w:ind w:right="1695"/>
        <w:rPr>
          <w:rFonts w:ascii="Arial" w:eastAsia="Arial" w:hAnsi="Arial" w:cs="Arial"/>
        </w:rPr>
      </w:pPr>
      <w:proofErr w:type="spellStart"/>
      <w:r>
        <w:rPr>
          <w:rFonts w:ascii="Arial" w:hAnsi="Arial"/>
        </w:rPr>
        <w:t>Rappuyage</w:t>
      </w:r>
      <w:proofErr w:type="spellEnd"/>
      <w:r>
        <w:rPr>
          <w:rFonts w:ascii="Arial" w:hAnsi="Arial"/>
        </w:rPr>
        <w:t xml:space="preserve"> par bandes avec semis dans la bande rappuyée</w:t>
      </w:r>
    </w:p>
    <w:p w14:paraId="20781523" w14:textId="77777777" w:rsidR="000678F3" w:rsidRDefault="000678F3" w:rsidP="00161FDD">
      <w:pPr>
        <w:spacing w:after="120" w:line="360" w:lineRule="auto"/>
        <w:ind w:left="567" w:right="1695"/>
        <w:rPr>
          <w:rFonts w:ascii="Arial" w:eastAsia="Arial" w:hAnsi="Arial" w:cs="Arial"/>
        </w:rPr>
      </w:pPr>
    </w:p>
    <w:p w14:paraId="17EA5076" w14:textId="77777777" w:rsidR="008B5E66" w:rsidRDefault="008B5E66" w:rsidP="00161FDD">
      <w:pPr>
        <w:spacing w:after="120" w:line="360" w:lineRule="auto"/>
        <w:ind w:left="567" w:right="1695"/>
        <w:rPr>
          <w:rFonts w:ascii="Arial" w:eastAsia="Arial" w:hAnsi="Arial" w:cs="Arial"/>
        </w:rPr>
      </w:pPr>
    </w:p>
    <w:p w14:paraId="4A1AC1A8" w14:textId="77777777" w:rsidR="00186275" w:rsidRDefault="00186275" w:rsidP="00161FDD">
      <w:pPr>
        <w:spacing w:after="120" w:line="360" w:lineRule="auto"/>
        <w:ind w:left="567" w:right="1695"/>
        <w:rPr>
          <w:rFonts w:ascii="Arial" w:eastAsia="Arial" w:hAnsi="Arial" w:cs="Arial"/>
        </w:rPr>
      </w:pPr>
    </w:p>
    <w:p w14:paraId="09AC0758" w14:textId="3CD6C947" w:rsidR="00186275" w:rsidRDefault="00186275"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6F46A95" wp14:editId="6F9C2B26">
            <wp:extent cx="3477600" cy="2880000"/>
            <wp:effectExtent l="0" t="0" r="2540" b="3175"/>
            <wp:docPr id="484628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628657" name="Grafik 48462865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327E902" w14:textId="77777777" w:rsidR="00186275" w:rsidRDefault="00186275" w:rsidP="00186275">
      <w:pPr>
        <w:spacing w:after="120" w:line="360" w:lineRule="auto"/>
        <w:ind w:left="567" w:right="1695"/>
        <w:rPr>
          <w:rFonts w:ascii="Arial" w:eastAsia="Arial" w:hAnsi="Arial" w:cs="Arial"/>
        </w:rPr>
      </w:pPr>
      <w:r>
        <w:rPr>
          <w:rFonts w:ascii="Arial" w:hAnsi="Arial"/>
        </w:rPr>
        <w:t xml:space="preserve">Nouveau semoir traîné Cirrus 04 </w:t>
      </w:r>
    </w:p>
    <w:p w14:paraId="3133E229" w14:textId="1667B217" w:rsidR="00186275" w:rsidRPr="00186275" w:rsidRDefault="00186275" w:rsidP="00186275">
      <w:pPr>
        <w:spacing w:after="120" w:line="360" w:lineRule="auto"/>
        <w:ind w:left="567" w:right="1695"/>
        <w:rPr>
          <w:rFonts w:ascii="Arial" w:eastAsia="Arial" w:hAnsi="Arial" w:cs="Arial"/>
        </w:rPr>
      </w:pPr>
      <w:r>
        <w:rPr>
          <w:rFonts w:ascii="Arial" w:hAnsi="Arial"/>
        </w:rPr>
        <w:t xml:space="preserve">Précis – Flexible – Performant </w:t>
      </w:r>
    </w:p>
    <w:p w14:paraId="1F4B47E1" w14:textId="77777777" w:rsidR="00186275" w:rsidRDefault="00186275" w:rsidP="00161FDD">
      <w:pPr>
        <w:spacing w:after="120" w:line="360" w:lineRule="auto"/>
        <w:ind w:left="567" w:right="1695"/>
        <w:rPr>
          <w:rFonts w:ascii="Arial" w:eastAsia="Arial" w:hAnsi="Arial" w:cs="Arial"/>
        </w:rPr>
      </w:pPr>
    </w:p>
    <w:p w14:paraId="14F251CD" w14:textId="77777777" w:rsidR="00186275" w:rsidRDefault="00186275" w:rsidP="00161FDD">
      <w:pPr>
        <w:spacing w:after="120" w:line="360" w:lineRule="auto"/>
        <w:ind w:left="567" w:right="1695"/>
        <w:rPr>
          <w:rFonts w:ascii="Arial" w:eastAsia="Arial" w:hAnsi="Arial" w:cs="Arial"/>
        </w:rPr>
      </w:pPr>
    </w:p>
    <w:p w14:paraId="3662CBDC" w14:textId="68AE5A93" w:rsidR="00186275" w:rsidRDefault="00186275" w:rsidP="00161FDD">
      <w:pPr>
        <w:spacing w:after="120" w:line="360" w:lineRule="auto"/>
        <w:ind w:left="567" w:right="1695"/>
        <w:rPr>
          <w:rFonts w:ascii="Arial" w:eastAsia="Arial" w:hAnsi="Arial" w:cs="Arial"/>
        </w:rPr>
      </w:pPr>
      <w:r>
        <w:rPr>
          <w:rFonts w:ascii="Arial" w:hAnsi="Arial"/>
          <w:noProof/>
        </w:rPr>
        <w:drawing>
          <wp:inline distT="0" distB="0" distL="0" distR="0" wp14:anchorId="03D599C4" wp14:editId="41BC4B29">
            <wp:extent cx="4968000" cy="2880000"/>
            <wp:effectExtent l="0" t="0" r="0" b="3175"/>
            <wp:docPr id="205716078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160784" name="Grafik 205716078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68000" cy="2880000"/>
                    </a:xfrm>
                    <a:prstGeom prst="rect">
                      <a:avLst/>
                    </a:prstGeom>
                  </pic:spPr>
                </pic:pic>
              </a:graphicData>
            </a:graphic>
          </wp:inline>
        </w:drawing>
      </w:r>
    </w:p>
    <w:p w14:paraId="4E9416BD" w14:textId="77777777" w:rsidR="00186275" w:rsidRPr="00186275" w:rsidRDefault="00186275" w:rsidP="00186275">
      <w:pPr>
        <w:spacing w:after="120" w:line="360" w:lineRule="auto"/>
        <w:ind w:left="567" w:right="1695"/>
        <w:rPr>
          <w:rFonts w:ascii="Arial" w:eastAsia="Arial" w:hAnsi="Arial" w:cs="Arial"/>
        </w:rPr>
      </w:pPr>
      <w:r>
        <w:rPr>
          <w:rFonts w:ascii="Arial" w:hAnsi="Arial"/>
        </w:rPr>
        <w:t>Le repliage unilatéral lors du chargement facilite l’accès à la trémie et autorise le remplissage de la machine même avec de petits chargeurs télescopiques</w:t>
      </w:r>
    </w:p>
    <w:p w14:paraId="5E796F34" w14:textId="77777777" w:rsidR="00186275" w:rsidRDefault="00186275" w:rsidP="00161FDD">
      <w:pPr>
        <w:spacing w:after="120" w:line="360" w:lineRule="auto"/>
        <w:ind w:left="567" w:right="1695"/>
        <w:rPr>
          <w:rFonts w:ascii="Arial" w:eastAsia="Arial" w:hAnsi="Arial" w:cs="Arial"/>
        </w:rPr>
      </w:pPr>
    </w:p>
    <w:p w14:paraId="2CDFFE3D" w14:textId="77777777" w:rsidR="00186275" w:rsidRDefault="00186275" w:rsidP="00161FDD">
      <w:pPr>
        <w:spacing w:after="120" w:line="360" w:lineRule="auto"/>
        <w:ind w:left="567" w:right="1695"/>
        <w:rPr>
          <w:rFonts w:ascii="Arial" w:eastAsia="Arial" w:hAnsi="Arial" w:cs="Arial"/>
        </w:rPr>
      </w:pPr>
    </w:p>
    <w:p w14:paraId="4D87FAB2" w14:textId="30CC6F57" w:rsidR="00186275" w:rsidRDefault="00186275"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DD82E0E" wp14:editId="6EDD7AC8">
            <wp:extent cx="4053600" cy="2880000"/>
            <wp:effectExtent l="0" t="0" r="0" b="3175"/>
            <wp:docPr id="209820845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08455" name="Grafik 209820845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7E49542"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La largeur de travail de 9 m et les vitesses de travail élevées concourent à des débits de chantier importants de la machine </w:t>
      </w:r>
    </w:p>
    <w:p w14:paraId="1FE31C78" w14:textId="77777777" w:rsidR="00186275" w:rsidRDefault="00186275" w:rsidP="00161FDD">
      <w:pPr>
        <w:spacing w:after="120" w:line="360" w:lineRule="auto"/>
        <w:ind w:left="567" w:right="1695"/>
        <w:rPr>
          <w:rFonts w:ascii="Arial" w:eastAsia="Arial" w:hAnsi="Arial" w:cs="Arial"/>
        </w:rPr>
      </w:pPr>
    </w:p>
    <w:p w14:paraId="4E58CF5B" w14:textId="77777777" w:rsidR="00186275" w:rsidRDefault="00186275" w:rsidP="00161FDD">
      <w:pPr>
        <w:spacing w:after="120" w:line="360" w:lineRule="auto"/>
        <w:ind w:left="567" w:right="1695"/>
        <w:rPr>
          <w:rFonts w:ascii="Arial" w:eastAsia="Arial" w:hAnsi="Arial" w:cs="Arial"/>
        </w:rPr>
      </w:pPr>
    </w:p>
    <w:p w14:paraId="65C6BB84" w14:textId="741F4C31" w:rsidR="00186275" w:rsidRDefault="00186275" w:rsidP="00161FDD">
      <w:pPr>
        <w:spacing w:after="120" w:line="360" w:lineRule="auto"/>
        <w:ind w:left="567" w:right="1695"/>
        <w:rPr>
          <w:rFonts w:ascii="Arial" w:eastAsia="Arial" w:hAnsi="Arial" w:cs="Arial"/>
        </w:rPr>
      </w:pPr>
      <w:r>
        <w:rPr>
          <w:rFonts w:ascii="Arial" w:hAnsi="Arial"/>
          <w:noProof/>
        </w:rPr>
        <w:drawing>
          <wp:inline distT="0" distB="0" distL="0" distR="0" wp14:anchorId="6FBAE970" wp14:editId="41D04B17">
            <wp:extent cx="6120000" cy="2109600"/>
            <wp:effectExtent l="0" t="0" r="1905" b="0"/>
            <wp:docPr id="144612168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121685" name="Grafik 144612168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4CA3BCC9"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Déplacements routiers en toute sécurité (en fonction de la législation en vigueur) </w:t>
      </w:r>
    </w:p>
    <w:p w14:paraId="68ACB1C0" w14:textId="77777777" w:rsidR="00186275" w:rsidRDefault="00186275" w:rsidP="00161FDD">
      <w:pPr>
        <w:spacing w:after="120" w:line="360" w:lineRule="auto"/>
        <w:ind w:left="567" w:right="1695"/>
        <w:rPr>
          <w:rFonts w:ascii="Arial" w:eastAsia="Arial" w:hAnsi="Arial" w:cs="Arial"/>
        </w:rPr>
      </w:pPr>
    </w:p>
    <w:p w14:paraId="084FEF53" w14:textId="77777777" w:rsidR="00186275" w:rsidRDefault="00186275" w:rsidP="00161FDD">
      <w:pPr>
        <w:spacing w:after="120" w:line="360" w:lineRule="auto"/>
        <w:ind w:left="567" w:right="1695"/>
        <w:rPr>
          <w:rFonts w:ascii="Arial" w:eastAsia="Arial" w:hAnsi="Arial" w:cs="Arial"/>
        </w:rPr>
      </w:pPr>
    </w:p>
    <w:p w14:paraId="0B1B5FBD" w14:textId="369923C1" w:rsidR="00186275" w:rsidRDefault="00186275"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BFD7829" wp14:editId="363F9F55">
            <wp:extent cx="4348800" cy="2880000"/>
            <wp:effectExtent l="0" t="0" r="0" b="3175"/>
            <wp:docPr id="110238431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384314" name="Grafik 11023843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48800" cy="2880000"/>
                    </a:xfrm>
                    <a:prstGeom prst="rect">
                      <a:avLst/>
                    </a:prstGeom>
                  </pic:spPr>
                </pic:pic>
              </a:graphicData>
            </a:graphic>
          </wp:inline>
        </w:drawing>
      </w:r>
    </w:p>
    <w:p w14:paraId="607D7E5D" w14:textId="77777777" w:rsidR="00186275" w:rsidRDefault="00186275" w:rsidP="00161FDD">
      <w:pPr>
        <w:spacing w:after="120" w:line="360" w:lineRule="auto"/>
        <w:ind w:left="567" w:right="1695"/>
        <w:rPr>
          <w:rFonts w:ascii="Arial" w:eastAsia="Arial" w:hAnsi="Arial" w:cs="Arial"/>
        </w:rPr>
      </w:pPr>
    </w:p>
    <w:p w14:paraId="795F7E57" w14:textId="77777777" w:rsidR="00186275" w:rsidRDefault="00186275" w:rsidP="00161FDD">
      <w:pPr>
        <w:spacing w:after="120" w:line="360" w:lineRule="auto"/>
        <w:ind w:left="567" w:right="1695"/>
        <w:rPr>
          <w:rFonts w:ascii="Arial" w:eastAsia="Arial" w:hAnsi="Arial" w:cs="Arial"/>
        </w:rPr>
      </w:pPr>
    </w:p>
    <w:p w14:paraId="1D9E3065" w14:textId="270E4ED1" w:rsidR="00186275" w:rsidRDefault="00186275" w:rsidP="00161FDD">
      <w:pPr>
        <w:spacing w:after="120" w:line="360" w:lineRule="auto"/>
        <w:ind w:left="567" w:right="1695"/>
        <w:rPr>
          <w:rFonts w:ascii="Arial" w:eastAsia="Arial" w:hAnsi="Arial" w:cs="Arial"/>
        </w:rPr>
      </w:pPr>
      <w:r>
        <w:rPr>
          <w:rFonts w:ascii="Arial" w:hAnsi="Arial"/>
          <w:noProof/>
        </w:rPr>
        <w:drawing>
          <wp:inline distT="0" distB="0" distL="0" distR="0" wp14:anchorId="6AF265AA" wp14:editId="1A472413">
            <wp:extent cx="3477600" cy="2880000"/>
            <wp:effectExtent l="0" t="0" r="2540" b="3175"/>
            <wp:docPr id="120226478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264781" name="Grafik 120226478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44966BE" w14:textId="77777777" w:rsidR="00186275" w:rsidRDefault="00186275" w:rsidP="00161FDD">
      <w:pPr>
        <w:spacing w:after="120" w:line="360" w:lineRule="auto"/>
        <w:ind w:left="567" w:right="1695"/>
        <w:rPr>
          <w:rFonts w:ascii="Arial" w:eastAsia="Arial" w:hAnsi="Arial" w:cs="Arial"/>
        </w:rPr>
      </w:pPr>
    </w:p>
    <w:p w14:paraId="0913D630" w14:textId="77777777" w:rsidR="00C46CAE" w:rsidRDefault="00C46CAE" w:rsidP="00161FDD">
      <w:pPr>
        <w:spacing w:after="120" w:line="360" w:lineRule="auto"/>
        <w:ind w:right="1695"/>
        <w:rPr>
          <w:rFonts w:ascii="Arial" w:eastAsia="Arial" w:hAnsi="Arial" w:cs="Arial"/>
        </w:rPr>
      </w:pPr>
    </w:p>
    <w:p w14:paraId="329DD9FC" w14:textId="77777777" w:rsidR="005A5258" w:rsidRDefault="005A5258" w:rsidP="00161FDD">
      <w:pPr>
        <w:spacing w:after="120" w:line="360" w:lineRule="auto"/>
        <w:ind w:right="1695"/>
        <w:rPr>
          <w:rFonts w:ascii="Arial" w:eastAsia="Arial" w:hAnsi="Arial" w:cs="Arial"/>
        </w:rPr>
      </w:pPr>
    </w:p>
    <w:p w14:paraId="6E930BED" w14:textId="77777777" w:rsidR="00186275" w:rsidRDefault="00186275" w:rsidP="00161FDD">
      <w:pPr>
        <w:spacing w:after="120" w:line="360" w:lineRule="auto"/>
        <w:ind w:right="1695"/>
        <w:rPr>
          <w:rFonts w:ascii="Arial" w:eastAsia="Arial" w:hAnsi="Arial" w:cs="Arial"/>
        </w:rPr>
      </w:pPr>
    </w:p>
    <w:p w14:paraId="4136FCEF" w14:textId="77777777" w:rsidR="00186275" w:rsidRPr="00F4316E" w:rsidRDefault="00186275"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F8944CC" w14:textId="1851F3BE"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15" w:history="1">
        <w:r>
          <w:rPr>
            <w:rStyle w:val="Hyperlink"/>
            <w:rFonts w:ascii="Arial" w:hAnsi="Arial"/>
            <w:sz w:val="20"/>
          </w:rPr>
          <w:t>www.amazone.fr</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4CF7F29A">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3960ADCA">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1579E4D">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75A9CC3B">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18737B8D">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1"/>
      <w:headerReference w:type="default" r:id="rId32"/>
      <w:footerReference w:type="even" r:id="rId33"/>
      <w:footerReference w:type="default" r:id="rId34"/>
      <w:headerReference w:type="first" r:id="rId35"/>
      <w:footerReference w:type="first" r:id="rId36"/>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5D47A4" w14:textId="77777777" w:rsidR="00064482" w:rsidRDefault="00064482">
      <w:r>
        <w:separator/>
      </w:r>
    </w:p>
  </w:endnote>
  <w:endnote w:type="continuationSeparator" w:id="0">
    <w:p w14:paraId="555FE8F9" w14:textId="77777777" w:rsidR="00064482" w:rsidRDefault="000644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260839" w:rsidRDefault="005E0980" w:rsidP="006F7755">
                          <w:pPr>
                            <w:spacing w:line="280" w:lineRule="exact"/>
                            <w:rPr>
                              <w:rFonts w:ascii="Arial" w:hAnsi="Arial"/>
                              <w:spacing w:val="2"/>
                              <w:sz w:val="20"/>
                              <w:lang w:val="de-DE"/>
                            </w:rPr>
                          </w:pPr>
                          <w:r w:rsidRPr="00260839">
                            <w:rPr>
                              <w:rFonts w:ascii="Arial" w:hAnsi="Arial"/>
                              <w:sz w:val="20"/>
                              <w:lang w:val="de-DE"/>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260839" w:rsidRDefault="005E0980" w:rsidP="006F7755">
                    <w:pPr>
                      <w:spacing w:line="280" w:lineRule="exact"/>
                      <w:rPr>
                        <w:rFonts w:ascii="Arial" w:hAnsi="Arial"/>
                        <w:spacing w:val="2"/>
                        <w:sz w:val="20"/>
                        <w:lang w:val="de-DE"/>
                      </w:rPr>
                    </w:pPr>
                    <w:r w:rsidRPr="00260839">
                      <w:rPr>
                        <w:rFonts w:ascii="Arial" w:hAnsi="Arial"/>
                        <w:sz w:val="20"/>
                        <w:lang w:val="de-DE"/>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5214B3" w14:textId="77777777" w:rsidR="00064482" w:rsidRDefault="00064482">
      <w:r>
        <w:separator/>
      </w:r>
    </w:p>
  </w:footnote>
  <w:footnote w:type="continuationSeparator" w:id="0">
    <w:p w14:paraId="4AC28168" w14:textId="77777777" w:rsidR="00064482" w:rsidRDefault="000644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48F515AA" w:rsidR="00E81D17" w:rsidRPr="002804E4" w:rsidRDefault="002804E4" w:rsidP="00E81D17">
                    <w:pPr>
                      <w:pStyle w:val="Normal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C1C22BA"/>
    <w:multiLevelType w:val="hybridMultilevel"/>
    <w:tmpl w:val="44BADFE4"/>
    <w:lvl w:ilvl="0" w:tplc="BCAC8E6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0C943AC"/>
    <w:multiLevelType w:val="hybridMultilevel"/>
    <w:tmpl w:val="E438D1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60EB6C75"/>
    <w:multiLevelType w:val="hybridMultilevel"/>
    <w:tmpl w:val="208AB21E"/>
    <w:lvl w:ilvl="0" w:tplc="21E6B55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9896D9E"/>
    <w:multiLevelType w:val="hybridMultilevel"/>
    <w:tmpl w:val="28A475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7DB562CC"/>
    <w:multiLevelType w:val="hybridMultilevel"/>
    <w:tmpl w:val="F49CBA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365374489">
    <w:abstractNumId w:val="8"/>
  </w:num>
  <w:num w:numId="2" w16cid:durableId="1075709180">
    <w:abstractNumId w:val="0"/>
  </w:num>
  <w:num w:numId="3" w16cid:durableId="792938869">
    <w:abstractNumId w:val="5"/>
  </w:num>
  <w:num w:numId="4" w16cid:durableId="1810197795">
    <w:abstractNumId w:val="6"/>
  </w:num>
  <w:num w:numId="5" w16cid:durableId="426773786">
    <w:abstractNumId w:val="3"/>
  </w:num>
  <w:num w:numId="6" w16cid:durableId="1047724981">
    <w:abstractNumId w:val="1"/>
  </w:num>
  <w:num w:numId="7" w16cid:durableId="382024247">
    <w:abstractNumId w:val="14"/>
  </w:num>
  <w:num w:numId="8" w16cid:durableId="44181891">
    <w:abstractNumId w:val="13"/>
  </w:num>
  <w:num w:numId="9" w16cid:durableId="11345820">
    <w:abstractNumId w:val="4"/>
  </w:num>
  <w:num w:numId="10" w16cid:durableId="725225071">
    <w:abstractNumId w:val="9"/>
  </w:num>
  <w:num w:numId="11" w16cid:durableId="16663593">
    <w:abstractNumId w:val="10"/>
  </w:num>
  <w:num w:numId="12" w16cid:durableId="572665850">
    <w:abstractNumId w:val="12"/>
  </w:num>
  <w:num w:numId="13" w16cid:durableId="1038622875">
    <w:abstractNumId w:val="18"/>
  </w:num>
  <w:num w:numId="14" w16cid:durableId="890963840">
    <w:abstractNumId w:val="7"/>
  </w:num>
  <w:num w:numId="15" w16cid:durableId="1349528731">
    <w:abstractNumId w:val="2"/>
  </w:num>
  <w:num w:numId="16" w16cid:durableId="1877884247">
    <w:abstractNumId w:val="17"/>
  </w:num>
  <w:num w:numId="17" w16cid:durableId="1596014232">
    <w:abstractNumId w:val="16"/>
  </w:num>
  <w:num w:numId="18" w16cid:durableId="471674732">
    <w:abstractNumId w:val="19"/>
  </w:num>
  <w:num w:numId="19" w16cid:durableId="630748966">
    <w:abstractNumId w:val="11"/>
  </w:num>
  <w:num w:numId="20" w16cid:durableId="211223464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48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6275"/>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2658"/>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39"/>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25B"/>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15ECF"/>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508"/>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5E66"/>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17DCA"/>
    <w:rsid w:val="00920552"/>
    <w:rsid w:val="00920AE8"/>
    <w:rsid w:val="0092470E"/>
    <w:rsid w:val="00924B9D"/>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0D56"/>
    <w:rsid w:val="00B61FD4"/>
    <w:rsid w:val="00B63392"/>
    <w:rsid w:val="00B638A5"/>
    <w:rsid w:val="00B63D4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1EB5"/>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26BB7"/>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4D5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21" Type="http://schemas.openxmlformats.org/officeDocument/2006/relationships/image" Target="cid:IG_efb650a7-31e4-4674-98db-f2d2d5c58dce.jpg"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france/" TargetMode="Externa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facebook.com/amazone.france"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amazone.fr"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36"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hyperlink" Target="https://instagram.com/amazone_france"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35" Type="http://schemas.openxmlformats.org/officeDocument/2006/relationships/header" Target="head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69811-80CA-4254-B42F-F4D2CF7593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1248</Words>
  <Characters>7867</Characters>
  <Application>Microsoft Office Word</Application>
  <DocSecurity>0</DocSecurity>
  <Lines>65</Lines>
  <Paragraphs>18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9097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2023-09-06T13:45:00Z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