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4E2E6A" w14:textId="386CF38E" w:rsidR="00C46CAE" w:rsidRPr="00231069" w:rsidRDefault="00496488" w:rsidP="00496488">
      <w:pPr>
        <w:spacing w:after="120" w:line="360" w:lineRule="auto"/>
        <w:ind w:left="567" w:right="1695"/>
        <w:rPr>
          <w:rFonts w:ascii="Arial" w:hAnsi="Arial" w:cs="Arial"/>
          <w:b/>
          <w:bCs/>
          <w:sz w:val="28"/>
          <w:szCs w:val="28"/>
        </w:rPr>
      </w:pPr>
      <w:proofErr w:type="spellStart"/>
      <w:r>
        <w:rPr>
          <w:rFonts w:ascii="Arial" w:hAnsi="Arial"/>
          <w:b/>
          <w:sz w:val="28"/>
        </w:rPr>
        <w:t>FertiSpot</w:t>
      </w:r>
      <w:proofErr w:type="spellEnd"/>
      <w:r>
        <w:rPr>
          <w:rFonts w:ascii="Arial" w:hAnsi="Arial"/>
          <w:b/>
          <w:sz w:val="28"/>
        </w:rPr>
        <w:t xml:space="preserve"> for the </w:t>
      </w:r>
      <w:proofErr w:type="spellStart"/>
      <w:r>
        <w:rPr>
          <w:rFonts w:ascii="Arial" w:hAnsi="Arial"/>
          <w:b/>
          <w:sz w:val="28"/>
        </w:rPr>
        <w:t>Precea</w:t>
      </w:r>
      <w:proofErr w:type="spellEnd"/>
      <w:r>
        <w:rPr>
          <w:rFonts w:ascii="Arial" w:hAnsi="Arial"/>
          <w:b/>
          <w:sz w:val="28"/>
        </w:rPr>
        <w:t xml:space="preserve"> precision air </w:t>
      </w:r>
      <w:proofErr w:type="spellStart"/>
      <w:r>
        <w:rPr>
          <w:rFonts w:ascii="Arial" w:hAnsi="Arial"/>
          <w:b/>
          <w:sz w:val="28"/>
        </w:rPr>
        <w:t>seeder</w:t>
      </w:r>
      <w:proofErr w:type="spellEnd"/>
    </w:p>
    <w:p w14:paraId="51714D9B" w14:textId="77777777" w:rsidR="00496488" w:rsidRPr="00496488" w:rsidRDefault="00496488" w:rsidP="00496488">
      <w:pPr>
        <w:spacing w:line="360" w:lineRule="auto"/>
        <w:ind w:left="567" w:right="1695"/>
        <w:rPr>
          <w:rFonts w:ascii="Arial" w:hAnsi="Arial" w:cs="Arial"/>
          <w:b/>
          <w:bCs/>
        </w:rPr>
      </w:pPr>
      <w:r>
        <w:rPr>
          <w:rFonts w:ascii="Arial" w:hAnsi="Arial"/>
          <w:b/>
        </w:rPr>
        <w:t xml:space="preserve">Spot-accurate fertiliser application: now also synchronised between the seeds and for all </w:t>
      </w:r>
      <w:proofErr w:type="spellStart"/>
      <w:r>
        <w:rPr>
          <w:rFonts w:ascii="Arial" w:hAnsi="Arial"/>
          <w:b/>
        </w:rPr>
        <w:t>Precea</w:t>
      </w:r>
      <w:proofErr w:type="spellEnd"/>
      <w:r>
        <w:rPr>
          <w:rFonts w:ascii="Arial" w:hAnsi="Arial"/>
          <w:b/>
        </w:rPr>
        <w:t xml:space="preserve"> </w:t>
      </w:r>
      <w:proofErr w:type="gramStart"/>
      <w:r>
        <w:rPr>
          <w:rFonts w:ascii="Arial" w:hAnsi="Arial"/>
          <w:b/>
        </w:rPr>
        <w:t>models</w:t>
      </w:r>
      <w:proofErr w:type="gramEnd"/>
    </w:p>
    <w:p w14:paraId="65EA582A" w14:textId="77777777" w:rsidR="00161FDD" w:rsidRDefault="00161FDD" w:rsidP="00161FDD">
      <w:pPr>
        <w:spacing w:line="360" w:lineRule="auto"/>
        <w:ind w:left="567" w:right="1695"/>
        <w:rPr>
          <w:rFonts w:ascii="Arial" w:hAnsi="Arial" w:cs="Arial"/>
        </w:rPr>
      </w:pPr>
    </w:p>
    <w:p w14:paraId="7A07821A" w14:textId="77777777" w:rsidR="00496488" w:rsidRDefault="00496488" w:rsidP="00496488">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FertiSpot</w:t>
      </w:r>
      <w:proofErr w:type="spellEnd"/>
      <w:r>
        <w:rPr>
          <w:rFonts w:ascii="Arial" w:hAnsi="Arial"/>
        </w:rPr>
        <w:t xml:space="preserve"> system ensures spot-accurate application of the fertiliser under the seed. Owing to the legal requirements for a reduction in the permitted amount of fertiliser used, the challenge lies in using fertiliser more and more efficiently. This has compelled AMAZONE to further develop the </w:t>
      </w:r>
      <w:proofErr w:type="spellStart"/>
      <w:r>
        <w:rPr>
          <w:rFonts w:ascii="Arial" w:hAnsi="Arial"/>
        </w:rPr>
        <w:t>FertiSpot</w:t>
      </w:r>
      <w:proofErr w:type="spellEnd"/>
      <w:r>
        <w:rPr>
          <w:rFonts w:ascii="Arial" w:hAnsi="Arial"/>
        </w:rPr>
        <w:t xml:space="preserve"> system. AMAZONE will be showing </w:t>
      </w:r>
      <w:proofErr w:type="spellStart"/>
      <w:r>
        <w:rPr>
          <w:rFonts w:ascii="Arial" w:hAnsi="Arial"/>
        </w:rPr>
        <w:t>FertiSpot</w:t>
      </w:r>
      <w:proofErr w:type="spellEnd"/>
      <w:r>
        <w:rPr>
          <w:rFonts w:ascii="Arial" w:hAnsi="Arial"/>
        </w:rPr>
        <w:t xml:space="preserve"> at </w:t>
      </w:r>
      <w:proofErr w:type="spellStart"/>
      <w:r>
        <w:rPr>
          <w:rFonts w:ascii="Arial" w:hAnsi="Arial"/>
        </w:rPr>
        <w:t>Agritechnica</w:t>
      </w:r>
      <w:proofErr w:type="spellEnd"/>
      <w:r>
        <w:rPr>
          <w:rFonts w:ascii="Arial" w:hAnsi="Arial"/>
        </w:rPr>
        <w:t xml:space="preserve"> 2023 with the additional option of synchronised fertiliser placement between the seeds.</w:t>
      </w:r>
    </w:p>
    <w:p w14:paraId="57620368" w14:textId="77777777" w:rsidR="00496488" w:rsidRPr="00496488" w:rsidRDefault="00496488" w:rsidP="00496488">
      <w:pPr>
        <w:spacing w:after="120" w:line="360" w:lineRule="auto"/>
        <w:ind w:left="567" w:right="1695"/>
        <w:rPr>
          <w:rFonts w:ascii="Arial" w:eastAsia="Arial" w:hAnsi="Arial" w:cs="Arial"/>
        </w:rPr>
      </w:pPr>
    </w:p>
    <w:p w14:paraId="0D172B1D" w14:textId="77777777" w:rsidR="00496488" w:rsidRDefault="00496488" w:rsidP="00496488">
      <w:pPr>
        <w:spacing w:after="120" w:line="360" w:lineRule="auto"/>
        <w:ind w:left="567" w:right="1695"/>
        <w:rPr>
          <w:rFonts w:ascii="Arial" w:eastAsia="Arial" w:hAnsi="Arial" w:cs="Arial"/>
        </w:rPr>
      </w:pPr>
      <w:r>
        <w:rPr>
          <w:rFonts w:ascii="Arial" w:hAnsi="Arial"/>
        </w:rPr>
        <w:t xml:space="preserve">AMAZONE introduced the </w:t>
      </w:r>
      <w:proofErr w:type="spellStart"/>
      <w:r>
        <w:rPr>
          <w:rFonts w:ascii="Arial" w:hAnsi="Arial"/>
        </w:rPr>
        <w:t>FertiSpot</w:t>
      </w:r>
      <w:proofErr w:type="spellEnd"/>
      <w:r>
        <w:rPr>
          <w:rFonts w:ascii="Arial" w:hAnsi="Arial"/>
        </w:rPr>
        <w:t xml:space="preserve"> system in 2019 with placement of the fertiliser under the plant. The system uses the fertiliser as efficiently as possible, especially in maize sowing. As a result of the increase in the use of precision sowing for other crops, AMAZONE has further developed the </w:t>
      </w:r>
      <w:proofErr w:type="spellStart"/>
      <w:r>
        <w:rPr>
          <w:rFonts w:ascii="Arial" w:hAnsi="Arial"/>
        </w:rPr>
        <w:t>FertiSpot</w:t>
      </w:r>
      <w:proofErr w:type="spellEnd"/>
      <w:r>
        <w:rPr>
          <w:rFonts w:ascii="Arial" w:hAnsi="Arial"/>
        </w:rPr>
        <w:t xml:space="preserve"> system. The new development provides synchronised placement of the fertiliser portions between the seeds with the result that the system enables high concentrations of fertiliser while protecting sensitive crops from burning. </w:t>
      </w:r>
      <w:proofErr w:type="gramStart"/>
      <w:r>
        <w:rPr>
          <w:rFonts w:ascii="Arial" w:hAnsi="Arial"/>
        </w:rPr>
        <w:t>In particular, this</w:t>
      </w:r>
      <w:proofErr w:type="gramEnd"/>
      <w:r>
        <w:rPr>
          <w:rFonts w:ascii="Arial" w:hAnsi="Arial"/>
        </w:rPr>
        <w:t xml:space="preserve"> offers advantages in other crops such as sugar beet. Application between the seeds benefits all crops, especially in very dry soil conditions. If the fertiliser is placed too close to the seeds, it will deprive the plants of the necessary moisture, meaning that the seeds could dry out or have an insufficient supply of water.</w:t>
      </w:r>
    </w:p>
    <w:p w14:paraId="66641230" w14:textId="77777777" w:rsidR="00496488" w:rsidRPr="00496488" w:rsidRDefault="00496488" w:rsidP="00496488">
      <w:pPr>
        <w:spacing w:after="120" w:line="360" w:lineRule="auto"/>
        <w:ind w:left="567" w:right="1695"/>
        <w:rPr>
          <w:rFonts w:ascii="Arial" w:eastAsia="Arial" w:hAnsi="Arial" w:cs="Arial"/>
        </w:rPr>
      </w:pPr>
    </w:p>
    <w:p w14:paraId="4CDDC130" w14:textId="77777777" w:rsidR="00496488" w:rsidRPr="00496488" w:rsidRDefault="00496488" w:rsidP="00496488">
      <w:pPr>
        <w:spacing w:after="120" w:line="360" w:lineRule="auto"/>
        <w:ind w:left="567" w:right="1695"/>
        <w:rPr>
          <w:rFonts w:ascii="Arial" w:eastAsia="Arial" w:hAnsi="Arial" w:cs="Arial"/>
          <w:b/>
          <w:bCs/>
        </w:rPr>
      </w:pPr>
      <w:r>
        <w:rPr>
          <w:rFonts w:ascii="Arial" w:hAnsi="Arial"/>
          <w:b/>
        </w:rPr>
        <w:t xml:space="preserve">Structure of </w:t>
      </w:r>
      <w:proofErr w:type="spellStart"/>
      <w:r>
        <w:rPr>
          <w:rFonts w:ascii="Arial" w:hAnsi="Arial"/>
          <w:b/>
        </w:rPr>
        <w:t>FertiSpot</w:t>
      </w:r>
      <w:proofErr w:type="spellEnd"/>
      <w:r>
        <w:rPr>
          <w:rFonts w:ascii="Arial" w:hAnsi="Arial"/>
          <w:b/>
        </w:rPr>
        <w:t xml:space="preserve"> with granular fertiliser</w:t>
      </w:r>
    </w:p>
    <w:p w14:paraId="72493D7A" w14:textId="77777777" w:rsidR="00496488" w:rsidRDefault="00496488" w:rsidP="00496488">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Precea</w:t>
      </w:r>
      <w:proofErr w:type="spellEnd"/>
      <w:r>
        <w:rPr>
          <w:rFonts w:ascii="Arial" w:hAnsi="Arial"/>
        </w:rPr>
        <w:t xml:space="preserve"> precision air </w:t>
      </w:r>
      <w:proofErr w:type="spellStart"/>
      <w:r>
        <w:rPr>
          <w:rFonts w:ascii="Arial" w:hAnsi="Arial"/>
        </w:rPr>
        <w:t>seeder</w:t>
      </w:r>
      <w:proofErr w:type="spellEnd"/>
      <w:r>
        <w:rPr>
          <w:rFonts w:ascii="Arial" w:hAnsi="Arial"/>
        </w:rPr>
        <w:t xml:space="preserve"> with </w:t>
      </w:r>
      <w:proofErr w:type="spellStart"/>
      <w:r>
        <w:rPr>
          <w:rFonts w:ascii="Arial" w:hAnsi="Arial"/>
        </w:rPr>
        <w:t>FertiSpot</w:t>
      </w:r>
      <w:proofErr w:type="spellEnd"/>
      <w:r>
        <w:rPr>
          <w:rFonts w:ascii="Arial" w:hAnsi="Arial"/>
        </w:rPr>
        <w:t xml:space="preserve"> for granular fertiliser placement has a fertiliser hopper with fertiliser metering just like the traditional precision air </w:t>
      </w:r>
      <w:proofErr w:type="spellStart"/>
      <w:r>
        <w:rPr>
          <w:rFonts w:ascii="Arial" w:hAnsi="Arial"/>
        </w:rPr>
        <w:t>seeder</w:t>
      </w:r>
      <w:proofErr w:type="spellEnd"/>
      <w:r>
        <w:rPr>
          <w:rFonts w:ascii="Arial" w:hAnsi="Arial"/>
        </w:rPr>
        <w:t xml:space="preserve">. The metering regulates the desired application rate per hectare. This can be varied using application maps. In conjunction with individual row shut-off, the fertiliser can be switched off across each row in wedge-shaped fields and tapering headlands via Section Control. The mineral fertiliser is transferred from the fertiliser metering system to the </w:t>
      </w:r>
      <w:proofErr w:type="spellStart"/>
      <w:r>
        <w:rPr>
          <w:rFonts w:ascii="Arial" w:hAnsi="Arial"/>
        </w:rPr>
        <w:t>FertiSpot</w:t>
      </w:r>
      <w:proofErr w:type="spellEnd"/>
      <w:r>
        <w:rPr>
          <w:rFonts w:ascii="Arial" w:hAnsi="Arial"/>
        </w:rPr>
        <w:t xml:space="preserve"> fertiliser portioning unit. The </w:t>
      </w:r>
      <w:r>
        <w:rPr>
          <w:rFonts w:ascii="Arial" w:hAnsi="Arial"/>
        </w:rPr>
        <w:lastRenderedPageBreak/>
        <w:t xml:space="preserve">fertiliser flow, which continuously enters the portioning unit, is combined by a high-speed portioning rotor. It leaves the unit as a portion and is delivered to the fertiliser coulter. The control of the portioning unit and delivery of the seed are synchronised. Control is provided via the </w:t>
      </w:r>
      <w:proofErr w:type="spellStart"/>
      <w:r>
        <w:rPr>
          <w:rFonts w:ascii="Arial" w:hAnsi="Arial"/>
        </w:rPr>
        <w:t>Precea</w:t>
      </w:r>
      <w:proofErr w:type="spellEnd"/>
      <w:r>
        <w:rPr>
          <w:rFonts w:ascii="Arial" w:hAnsi="Arial"/>
        </w:rPr>
        <w:t xml:space="preserve"> ISOBUS control system. The further development of </w:t>
      </w:r>
      <w:proofErr w:type="spellStart"/>
      <w:r>
        <w:rPr>
          <w:rFonts w:ascii="Arial" w:hAnsi="Arial"/>
        </w:rPr>
        <w:t>FertiSpot</w:t>
      </w:r>
      <w:proofErr w:type="spellEnd"/>
      <w:r>
        <w:rPr>
          <w:rFonts w:ascii="Arial" w:hAnsi="Arial"/>
        </w:rPr>
        <w:t xml:space="preserve"> means that the fertiliser can now be delivered both as a portion directly under the plant and as a portion between the seeds. The tractor driver can enter the precise location of the spot via the ISOBUS control system. The fertiliser depot can be offset with the enhanced </w:t>
      </w:r>
      <w:proofErr w:type="spellStart"/>
      <w:r>
        <w:rPr>
          <w:rFonts w:ascii="Arial" w:hAnsi="Arial"/>
        </w:rPr>
        <w:t>FertiSpot</w:t>
      </w:r>
      <w:proofErr w:type="spellEnd"/>
      <w:r>
        <w:rPr>
          <w:rFonts w:ascii="Arial" w:hAnsi="Arial"/>
        </w:rPr>
        <w:t xml:space="preserve"> metering. The tractor driver can enter the precise location of the spot under the seed or as a possible offset between two seeds via the ISOBUS control system. Furthermore, band application is also possible with </w:t>
      </w:r>
      <w:proofErr w:type="spellStart"/>
      <w:r>
        <w:rPr>
          <w:rFonts w:ascii="Arial" w:hAnsi="Arial"/>
        </w:rPr>
        <w:t>FertiSpot</w:t>
      </w:r>
      <w:proofErr w:type="spellEnd"/>
      <w:r>
        <w:rPr>
          <w:rFonts w:ascii="Arial" w:hAnsi="Arial"/>
        </w:rPr>
        <w:t>. The special design allows application rates of up to 250 kg of fertiliser per hectare depending on the machine specification and irrespective of the fertiliser type.</w:t>
      </w:r>
    </w:p>
    <w:p w14:paraId="1F0014EA" w14:textId="77777777" w:rsidR="00496488" w:rsidRPr="00496488" w:rsidRDefault="00496488" w:rsidP="00496488">
      <w:pPr>
        <w:spacing w:after="120" w:line="360" w:lineRule="auto"/>
        <w:ind w:left="567" w:right="1695"/>
        <w:rPr>
          <w:rFonts w:ascii="Arial" w:eastAsia="Arial" w:hAnsi="Arial" w:cs="Arial"/>
        </w:rPr>
      </w:pPr>
    </w:p>
    <w:p w14:paraId="7EC878DD" w14:textId="77777777" w:rsidR="00496488" w:rsidRPr="00496488" w:rsidRDefault="00496488" w:rsidP="00496488">
      <w:pPr>
        <w:spacing w:after="120" w:line="360" w:lineRule="auto"/>
        <w:ind w:left="567" w:right="1695"/>
        <w:rPr>
          <w:rFonts w:ascii="Arial" w:eastAsia="Arial" w:hAnsi="Arial" w:cs="Arial"/>
          <w:b/>
          <w:bCs/>
        </w:rPr>
      </w:pPr>
      <w:r>
        <w:rPr>
          <w:rFonts w:ascii="Arial" w:hAnsi="Arial"/>
          <w:b/>
        </w:rPr>
        <w:t>Better utilisation of the fertiliser by the plant</w:t>
      </w:r>
    </w:p>
    <w:p w14:paraId="6BD1A6C0" w14:textId="77777777" w:rsidR="00496488" w:rsidRDefault="00496488" w:rsidP="00496488">
      <w:pPr>
        <w:spacing w:after="120" w:line="360" w:lineRule="auto"/>
        <w:ind w:left="567" w:right="1695"/>
        <w:rPr>
          <w:rFonts w:ascii="Arial" w:eastAsia="Arial" w:hAnsi="Arial" w:cs="Arial"/>
        </w:rPr>
      </w:pPr>
      <w:r>
        <w:rPr>
          <w:rFonts w:ascii="Arial" w:hAnsi="Arial"/>
        </w:rPr>
        <w:t xml:space="preserve">Targeted placement of the fertiliser </w:t>
      </w:r>
      <w:proofErr w:type="gramStart"/>
      <w:r>
        <w:rPr>
          <w:rFonts w:ascii="Arial" w:hAnsi="Arial"/>
        </w:rPr>
        <w:t>in the area of</w:t>
      </w:r>
      <w:proofErr w:type="gramEnd"/>
      <w:r>
        <w:rPr>
          <w:rFonts w:ascii="Arial" w:hAnsi="Arial"/>
        </w:rPr>
        <w:t xml:space="preserve"> the seed leads to clearly improved nutrient utilisation, since the availability to the plant increases. The higher availability provided by spot application allows for a reduction in the total amount of fertiliser applied per hectare. Investigations carried out by the Technical University of Cologne predict fertiliser savings of 25% with the same yield level.</w:t>
      </w:r>
    </w:p>
    <w:p w14:paraId="686A606B" w14:textId="77777777" w:rsidR="00496488" w:rsidRPr="00496488" w:rsidRDefault="00496488" w:rsidP="00496488">
      <w:pPr>
        <w:spacing w:after="120" w:line="360" w:lineRule="auto"/>
        <w:ind w:left="567" w:right="1695"/>
        <w:rPr>
          <w:rFonts w:ascii="Arial" w:eastAsia="Arial" w:hAnsi="Arial" w:cs="Arial"/>
        </w:rPr>
      </w:pPr>
    </w:p>
    <w:p w14:paraId="64F70650" w14:textId="77777777" w:rsidR="00496488" w:rsidRDefault="00496488" w:rsidP="00496488">
      <w:pPr>
        <w:spacing w:after="120" w:line="360" w:lineRule="auto"/>
        <w:ind w:left="567" w:right="1695"/>
        <w:rPr>
          <w:rFonts w:ascii="Arial" w:eastAsia="Arial" w:hAnsi="Arial" w:cs="Arial"/>
        </w:rPr>
      </w:pPr>
      <w:r>
        <w:rPr>
          <w:rFonts w:ascii="Arial" w:hAnsi="Arial"/>
        </w:rPr>
        <w:t xml:space="preserve">In addition to the positive effects on environmental protection, there are further advantages for operational and work management. Direct cost savings from the reduced amounts of fertiliser required per hectare are accompanied by additional savings due to the higher work rates while sowing, since refill stops are reduced by 25 %. In regions with a </w:t>
      </w:r>
      <w:proofErr w:type="gramStart"/>
      <w:r>
        <w:rPr>
          <w:rFonts w:ascii="Arial" w:hAnsi="Arial"/>
        </w:rPr>
        <w:t>large animal stock levels</w:t>
      </w:r>
      <w:proofErr w:type="gramEnd"/>
      <w:r>
        <w:rPr>
          <w:rFonts w:ascii="Arial" w:hAnsi="Arial"/>
        </w:rPr>
        <w:t>, mineral fertiliser can be saved and the farm manure can be put to more effective use.</w:t>
      </w:r>
    </w:p>
    <w:p w14:paraId="65A56E9C" w14:textId="77777777" w:rsidR="00496488" w:rsidRPr="00496488" w:rsidRDefault="00496488" w:rsidP="00496488">
      <w:pPr>
        <w:spacing w:after="120" w:line="360" w:lineRule="auto"/>
        <w:ind w:left="567" w:right="1695"/>
        <w:rPr>
          <w:rFonts w:ascii="Arial" w:eastAsia="Arial" w:hAnsi="Arial" w:cs="Arial"/>
        </w:rPr>
      </w:pPr>
    </w:p>
    <w:p w14:paraId="73BA20EC" w14:textId="77777777" w:rsidR="00496488" w:rsidRDefault="00496488" w:rsidP="00496488">
      <w:pPr>
        <w:spacing w:after="120" w:line="360" w:lineRule="auto"/>
        <w:ind w:left="567" w:right="1695"/>
        <w:rPr>
          <w:rFonts w:ascii="Arial" w:eastAsia="Arial" w:hAnsi="Arial" w:cs="Arial"/>
        </w:rPr>
      </w:pPr>
      <w:r>
        <w:rPr>
          <w:rFonts w:ascii="Arial" w:hAnsi="Arial"/>
        </w:rPr>
        <w:t xml:space="preserve">The high saving in fertiliser not only provides considerable added value for the farmer, but contractors also save time and money, since they can increase </w:t>
      </w:r>
      <w:r>
        <w:rPr>
          <w:rFonts w:ascii="Arial" w:hAnsi="Arial"/>
        </w:rPr>
        <w:lastRenderedPageBreak/>
        <w:t xml:space="preserve">output </w:t>
      </w:r>
      <w:proofErr w:type="gramStart"/>
      <w:r>
        <w:rPr>
          <w:rFonts w:ascii="Arial" w:hAnsi="Arial"/>
        </w:rPr>
        <w:t>as a result of</w:t>
      </w:r>
      <w:proofErr w:type="gramEnd"/>
      <w:r>
        <w:rPr>
          <w:rFonts w:ascii="Arial" w:hAnsi="Arial"/>
        </w:rPr>
        <w:t xml:space="preserve"> the reduced amount of downtime for fertiliser filling. The environment also benefits from the reduced and more efficient use of fertiliser.</w:t>
      </w:r>
    </w:p>
    <w:p w14:paraId="5F6B704E" w14:textId="77777777" w:rsidR="00496488" w:rsidRPr="00496488" w:rsidRDefault="00496488" w:rsidP="00496488">
      <w:pPr>
        <w:spacing w:after="120" w:line="360" w:lineRule="auto"/>
        <w:ind w:left="567" w:right="1695"/>
        <w:rPr>
          <w:rFonts w:ascii="Arial" w:eastAsia="Arial" w:hAnsi="Arial" w:cs="Arial"/>
        </w:rPr>
      </w:pPr>
    </w:p>
    <w:p w14:paraId="1C6ACD29" w14:textId="468DF339" w:rsidR="00161FDD" w:rsidRDefault="00496488" w:rsidP="00496488">
      <w:pPr>
        <w:spacing w:after="120" w:line="360" w:lineRule="auto"/>
        <w:ind w:left="567" w:right="1695"/>
        <w:rPr>
          <w:rFonts w:ascii="Arial" w:eastAsia="Arial" w:hAnsi="Arial" w:cs="Arial"/>
        </w:rPr>
      </w:pPr>
      <w:r>
        <w:rPr>
          <w:rFonts w:ascii="Arial" w:hAnsi="Arial"/>
        </w:rPr>
        <w:t xml:space="preserve">The further development of the </w:t>
      </w:r>
      <w:proofErr w:type="spellStart"/>
      <w:r>
        <w:rPr>
          <w:rFonts w:ascii="Arial" w:hAnsi="Arial"/>
        </w:rPr>
        <w:t>FertiSpot</w:t>
      </w:r>
      <w:proofErr w:type="spellEnd"/>
      <w:r>
        <w:rPr>
          <w:rFonts w:ascii="Arial" w:hAnsi="Arial"/>
        </w:rPr>
        <w:t xml:space="preserve"> system enables it to be used in various crops. The variable application between the seeds means that the fertiliser can also be placed as a deposit for sensitive crops. Crops which are sensitive to fertiliser, such as rape or sugar beet, can therefore be optimally supplied with a reduced amount of fertiliser.</w:t>
      </w:r>
    </w:p>
    <w:p w14:paraId="055346D6" w14:textId="77777777" w:rsidR="009477A9" w:rsidRDefault="009477A9" w:rsidP="00161FDD">
      <w:pPr>
        <w:spacing w:after="120" w:line="360" w:lineRule="auto"/>
        <w:ind w:left="567" w:right="1695"/>
        <w:rPr>
          <w:rFonts w:ascii="Arial" w:eastAsia="Arial" w:hAnsi="Arial" w:cs="Arial"/>
        </w:rPr>
      </w:pPr>
    </w:p>
    <w:p w14:paraId="6855F60C" w14:textId="77777777" w:rsidR="00496488" w:rsidRDefault="00496488"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EA33BFC" w14:textId="70F0AD98" w:rsidR="00496488" w:rsidRPr="009B1704" w:rsidRDefault="00496488" w:rsidP="009B1704">
      <w:pPr>
        <w:pStyle w:val="Listenabsatz"/>
        <w:numPr>
          <w:ilvl w:val="0"/>
          <w:numId w:val="17"/>
        </w:numPr>
        <w:spacing w:after="120" w:line="360" w:lineRule="auto"/>
        <w:ind w:right="1695"/>
        <w:rPr>
          <w:rFonts w:ascii="Arial" w:eastAsia="Arial" w:hAnsi="Arial" w:cs="Arial"/>
        </w:rPr>
      </w:pPr>
      <w:proofErr w:type="spellStart"/>
      <w:r>
        <w:rPr>
          <w:rFonts w:ascii="Arial" w:hAnsi="Arial"/>
        </w:rPr>
        <w:t>FertiSpot</w:t>
      </w:r>
      <w:proofErr w:type="spellEnd"/>
      <w:r>
        <w:rPr>
          <w:rFonts w:ascii="Arial" w:hAnsi="Arial"/>
        </w:rPr>
        <w:t xml:space="preserve"> allows the amount of fertiliser to be significantly reduced and the environment is </w:t>
      </w:r>
      <w:proofErr w:type="gramStart"/>
      <w:r>
        <w:rPr>
          <w:rFonts w:ascii="Arial" w:hAnsi="Arial"/>
        </w:rPr>
        <w:t>protected</w:t>
      </w:r>
      <w:proofErr w:type="gramEnd"/>
    </w:p>
    <w:p w14:paraId="7740E68B" w14:textId="36469809" w:rsidR="00496488" w:rsidRPr="009B1704" w:rsidRDefault="00496488" w:rsidP="009B1704">
      <w:pPr>
        <w:pStyle w:val="Listenabsatz"/>
        <w:numPr>
          <w:ilvl w:val="0"/>
          <w:numId w:val="17"/>
        </w:numPr>
        <w:spacing w:after="120" w:line="360" w:lineRule="auto"/>
        <w:ind w:right="1695"/>
        <w:rPr>
          <w:rFonts w:ascii="Arial" w:eastAsia="Arial" w:hAnsi="Arial" w:cs="Arial"/>
        </w:rPr>
      </w:pPr>
      <w:r>
        <w:rPr>
          <w:rFonts w:ascii="Arial" w:hAnsi="Arial"/>
        </w:rPr>
        <w:t>Benefits of the reduced amount of fertiliser:</w:t>
      </w:r>
    </w:p>
    <w:p w14:paraId="0FD964F3" w14:textId="547AD6BB" w:rsidR="00496488" w:rsidRPr="009B1704" w:rsidRDefault="00496488" w:rsidP="009B1704">
      <w:pPr>
        <w:pStyle w:val="Listenabsatz"/>
        <w:numPr>
          <w:ilvl w:val="1"/>
          <w:numId w:val="18"/>
        </w:numPr>
        <w:spacing w:after="120" w:line="360" w:lineRule="auto"/>
        <w:ind w:right="1695"/>
        <w:rPr>
          <w:rFonts w:ascii="Arial" w:eastAsia="Arial" w:hAnsi="Arial" w:cs="Arial"/>
        </w:rPr>
      </w:pPr>
      <w:r>
        <w:rPr>
          <w:rFonts w:ascii="Arial" w:hAnsi="Arial"/>
        </w:rPr>
        <w:t>Farmer: lower fertiliser costs</w:t>
      </w:r>
    </w:p>
    <w:p w14:paraId="1F8FF45A" w14:textId="1D7B5311" w:rsidR="00161FDD" w:rsidRPr="009B1704" w:rsidRDefault="00496488" w:rsidP="009B1704">
      <w:pPr>
        <w:pStyle w:val="Listenabsatz"/>
        <w:numPr>
          <w:ilvl w:val="1"/>
          <w:numId w:val="18"/>
        </w:numPr>
        <w:spacing w:after="120" w:line="360" w:lineRule="auto"/>
        <w:ind w:right="1695"/>
        <w:rPr>
          <w:rFonts w:ascii="Arial" w:eastAsia="Arial" w:hAnsi="Arial" w:cs="Arial"/>
          <w:noProof/>
        </w:rPr>
      </w:pPr>
      <w:r>
        <w:rPr>
          <w:rFonts w:ascii="Arial" w:hAnsi="Arial"/>
        </w:rPr>
        <w:t>Contractor: higher output due to shorter turn-round times</w:t>
      </w:r>
    </w:p>
    <w:p w14:paraId="33A19A94" w14:textId="77777777" w:rsidR="00C46CAE" w:rsidRDefault="00C46CAE" w:rsidP="00161FDD">
      <w:pPr>
        <w:spacing w:after="120" w:line="360" w:lineRule="auto"/>
        <w:ind w:left="567" w:right="1695"/>
        <w:rPr>
          <w:rFonts w:ascii="Arial" w:eastAsia="Arial" w:hAnsi="Arial" w:cs="Arial"/>
          <w:noProof/>
        </w:rPr>
      </w:pPr>
    </w:p>
    <w:p w14:paraId="7C5B29AD" w14:textId="77777777" w:rsidR="00161FDD" w:rsidRDefault="00161FDD" w:rsidP="00161FDD">
      <w:pPr>
        <w:spacing w:after="120" w:line="360" w:lineRule="auto"/>
        <w:ind w:left="567" w:right="1695"/>
        <w:rPr>
          <w:rFonts w:ascii="Arial" w:eastAsia="Arial" w:hAnsi="Arial" w:cs="Arial"/>
        </w:rPr>
      </w:pPr>
    </w:p>
    <w:p w14:paraId="0BB2E8B6" w14:textId="0D34D093" w:rsidR="00496488" w:rsidRDefault="00504DEE"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E323F44" wp14:editId="593A66A8">
            <wp:extent cx="3477600" cy="2880000"/>
            <wp:effectExtent l="0" t="0" r="2540" b="3175"/>
            <wp:docPr id="15735956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595657" name="Grafik 157359565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8E7D047" w14:textId="383E6543" w:rsidR="00504DEE" w:rsidRPr="00504DEE" w:rsidRDefault="00504DEE" w:rsidP="00504DEE">
      <w:pPr>
        <w:spacing w:after="120" w:line="360" w:lineRule="auto"/>
        <w:ind w:left="567" w:right="1695"/>
        <w:rPr>
          <w:rFonts w:ascii="Arial" w:eastAsia="Arial" w:hAnsi="Arial" w:cs="Arial"/>
        </w:rPr>
      </w:pPr>
      <w:proofErr w:type="spellStart"/>
      <w:r>
        <w:rPr>
          <w:rFonts w:ascii="Arial" w:hAnsi="Arial"/>
        </w:rPr>
        <w:t>Precea</w:t>
      </w:r>
      <w:proofErr w:type="spellEnd"/>
      <w:r>
        <w:rPr>
          <w:rFonts w:ascii="Arial" w:hAnsi="Arial"/>
        </w:rPr>
        <w:t xml:space="preserve"> 6000-2FCC with the </w:t>
      </w:r>
      <w:proofErr w:type="spellStart"/>
      <w:r>
        <w:rPr>
          <w:rFonts w:ascii="Arial" w:hAnsi="Arial"/>
        </w:rPr>
        <w:t>FertiSpot</w:t>
      </w:r>
      <w:proofErr w:type="spellEnd"/>
      <w:r>
        <w:rPr>
          <w:rFonts w:ascii="Arial" w:hAnsi="Arial"/>
        </w:rPr>
        <w:t xml:space="preserve"> metering unit for spot-accurate fertiliser application. The fertiliser is conveyed from the </w:t>
      </w:r>
      <w:proofErr w:type="spellStart"/>
      <w:r>
        <w:rPr>
          <w:rFonts w:ascii="Arial" w:hAnsi="Arial"/>
        </w:rPr>
        <w:t>FTender</w:t>
      </w:r>
      <w:proofErr w:type="spellEnd"/>
      <w:r>
        <w:rPr>
          <w:rFonts w:ascii="Arial" w:hAnsi="Arial"/>
        </w:rPr>
        <w:t xml:space="preserve"> 2200 front hopper via the transfer pipe to the rear of the machine where it is then portioned accordingly.</w:t>
      </w:r>
    </w:p>
    <w:p w14:paraId="66445704" w14:textId="77777777" w:rsidR="00504DEE" w:rsidRDefault="00504DEE" w:rsidP="00161FDD">
      <w:pPr>
        <w:spacing w:after="120" w:line="360" w:lineRule="auto"/>
        <w:ind w:left="567" w:right="1695"/>
        <w:rPr>
          <w:rFonts w:ascii="Arial" w:eastAsia="Arial" w:hAnsi="Arial" w:cs="Arial"/>
        </w:rPr>
      </w:pPr>
    </w:p>
    <w:p w14:paraId="1DA70469" w14:textId="77777777" w:rsidR="00771B98" w:rsidRDefault="00771B98" w:rsidP="00161FDD">
      <w:pPr>
        <w:spacing w:after="120" w:line="360" w:lineRule="auto"/>
        <w:ind w:left="567" w:right="1695"/>
        <w:rPr>
          <w:rFonts w:ascii="Arial" w:eastAsia="Arial" w:hAnsi="Arial" w:cs="Arial"/>
        </w:rPr>
      </w:pPr>
    </w:p>
    <w:p w14:paraId="43C905BB" w14:textId="77777777" w:rsidR="00771B98" w:rsidRDefault="00771B98" w:rsidP="00161FDD">
      <w:pPr>
        <w:spacing w:after="120" w:line="360" w:lineRule="auto"/>
        <w:ind w:left="567" w:right="1695"/>
        <w:rPr>
          <w:rFonts w:ascii="Arial" w:eastAsia="Arial" w:hAnsi="Arial" w:cs="Arial"/>
        </w:rPr>
      </w:pPr>
    </w:p>
    <w:p w14:paraId="640B6B79" w14:textId="77777777" w:rsidR="00771B98" w:rsidRDefault="00771B98" w:rsidP="00161FDD">
      <w:pPr>
        <w:spacing w:after="120" w:line="360" w:lineRule="auto"/>
        <w:ind w:left="567" w:right="1695"/>
        <w:rPr>
          <w:rFonts w:ascii="Arial" w:eastAsia="Arial" w:hAnsi="Arial" w:cs="Arial"/>
        </w:rPr>
      </w:pPr>
    </w:p>
    <w:p w14:paraId="634200A0" w14:textId="77777777" w:rsidR="00771B98" w:rsidRDefault="00771B98" w:rsidP="00161FDD">
      <w:pPr>
        <w:spacing w:after="120" w:line="360" w:lineRule="auto"/>
        <w:ind w:left="567" w:right="1695"/>
        <w:rPr>
          <w:rFonts w:ascii="Arial" w:eastAsia="Arial" w:hAnsi="Arial" w:cs="Arial"/>
        </w:rPr>
      </w:pPr>
    </w:p>
    <w:p w14:paraId="6E436670" w14:textId="3BDF1556" w:rsidR="00504DEE" w:rsidRDefault="00504DEE"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8424DF8" wp14:editId="5527216E">
            <wp:extent cx="1684800" cy="2880000"/>
            <wp:effectExtent l="0" t="0" r="4445" b="3175"/>
            <wp:docPr id="184406830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068303" name="Grafik 184406830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84800" cy="2880000"/>
                    </a:xfrm>
                    <a:prstGeom prst="rect">
                      <a:avLst/>
                    </a:prstGeom>
                  </pic:spPr>
                </pic:pic>
              </a:graphicData>
            </a:graphic>
          </wp:inline>
        </w:drawing>
      </w:r>
    </w:p>
    <w:p w14:paraId="3E2B4621" w14:textId="77777777" w:rsidR="00504DEE" w:rsidRPr="00504DEE" w:rsidRDefault="00504DEE" w:rsidP="00504DEE">
      <w:pPr>
        <w:spacing w:after="120" w:line="360" w:lineRule="auto"/>
        <w:ind w:left="567" w:right="1695"/>
        <w:rPr>
          <w:rFonts w:ascii="Arial" w:eastAsia="Arial" w:hAnsi="Arial" w:cs="Arial"/>
          <w:b/>
          <w:bCs/>
        </w:rPr>
      </w:pPr>
      <w:proofErr w:type="spellStart"/>
      <w:r>
        <w:rPr>
          <w:rFonts w:ascii="Arial" w:hAnsi="Arial"/>
          <w:b/>
        </w:rPr>
        <w:t>FertiSpot</w:t>
      </w:r>
      <w:proofErr w:type="spellEnd"/>
      <w:r>
        <w:rPr>
          <w:rFonts w:ascii="Arial" w:hAnsi="Arial"/>
          <w:b/>
        </w:rPr>
        <w:t xml:space="preserve"> system overview - as a whole</w:t>
      </w:r>
    </w:p>
    <w:p w14:paraId="1D2E4405" w14:textId="043BAA15" w:rsidR="00504DEE" w:rsidRPr="00504DEE" w:rsidRDefault="00504DEE" w:rsidP="00504DEE">
      <w:pPr>
        <w:pStyle w:val="Listenabsatz"/>
        <w:numPr>
          <w:ilvl w:val="0"/>
          <w:numId w:val="14"/>
        </w:numPr>
        <w:spacing w:after="120" w:line="360" w:lineRule="auto"/>
        <w:ind w:right="1695"/>
        <w:rPr>
          <w:rFonts w:ascii="Arial" w:eastAsia="Arial" w:hAnsi="Arial" w:cs="Arial"/>
        </w:rPr>
      </w:pPr>
      <w:r>
        <w:rPr>
          <w:rFonts w:ascii="Arial" w:hAnsi="Arial"/>
          <w:b/>
        </w:rPr>
        <w:t xml:space="preserve">Fertiliser hopper: </w:t>
      </w:r>
      <w:r>
        <w:rPr>
          <w:rFonts w:ascii="Arial" w:hAnsi="Arial"/>
        </w:rPr>
        <w:t>Supply of the under-root fertiliser</w:t>
      </w:r>
    </w:p>
    <w:p w14:paraId="12F43A1A" w14:textId="7FF8969B" w:rsidR="00504DEE" w:rsidRPr="00504DEE" w:rsidRDefault="00504DEE" w:rsidP="00504DEE">
      <w:pPr>
        <w:pStyle w:val="Listenabsatz"/>
        <w:numPr>
          <w:ilvl w:val="0"/>
          <w:numId w:val="14"/>
        </w:numPr>
        <w:spacing w:after="120" w:line="360" w:lineRule="auto"/>
        <w:ind w:right="1695"/>
        <w:rPr>
          <w:rFonts w:ascii="Arial" w:eastAsia="Arial" w:hAnsi="Arial" w:cs="Arial"/>
        </w:rPr>
      </w:pPr>
      <w:r>
        <w:rPr>
          <w:rFonts w:ascii="Arial" w:hAnsi="Arial"/>
          <w:b/>
        </w:rPr>
        <w:t>Metering unit:</w:t>
      </w:r>
      <w:r>
        <w:rPr>
          <w:rFonts w:ascii="Arial" w:hAnsi="Arial"/>
        </w:rPr>
        <w:t xml:space="preserve"> Quantity of fertiliser </w:t>
      </w:r>
      <w:proofErr w:type="gramStart"/>
      <w:r>
        <w:rPr>
          <w:rFonts w:ascii="Arial" w:hAnsi="Arial"/>
        </w:rPr>
        <w:t>metered</w:t>
      </w:r>
      <w:proofErr w:type="gramEnd"/>
    </w:p>
    <w:p w14:paraId="3E65B975" w14:textId="7EB6B43D" w:rsidR="00504DEE" w:rsidRPr="00504DEE" w:rsidRDefault="00504DEE" w:rsidP="00504DEE">
      <w:pPr>
        <w:pStyle w:val="Listenabsatz"/>
        <w:numPr>
          <w:ilvl w:val="0"/>
          <w:numId w:val="14"/>
        </w:numPr>
        <w:spacing w:after="120" w:line="360" w:lineRule="auto"/>
        <w:ind w:right="1695"/>
        <w:rPr>
          <w:rFonts w:ascii="Arial" w:eastAsia="Arial" w:hAnsi="Arial" w:cs="Arial"/>
        </w:rPr>
      </w:pPr>
      <w:r>
        <w:rPr>
          <w:rFonts w:ascii="Arial" w:hAnsi="Arial"/>
          <w:b/>
        </w:rPr>
        <w:t>Portioning unit:</w:t>
      </w:r>
      <w:r>
        <w:rPr>
          <w:rFonts w:ascii="Arial" w:hAnsi="Arial"/>
        </w:rPr>
        <w:t xml:space="preserve"> Portioning of the fertiliser</w:t>
      </w:r>
    </w:p>
    <w:p w14:paraId="63CF0FF3" w14:textId="422D72C9" w:rsidR="00504DEE" w:rsidRPr="00771B98" w:rsidRDefault="00504DEE" w:rsidP="00504DEE">
      <w:pPr>
        <w:pStyle w:val="Listenabsatz"/>
        <w:numPr>
          <w:ilvl w:val="0"/>
          <w:numId w:val="14"/>
        </w:numPr>
        <w:spacing w:after="120" w:line="360" w:lineRule="auto"/>
        <w:ind w:right="1695"/>
        <w:rPr>
          <w:rFonts w:ascii="Arial" w:eastAsia="Arial" w:hAnsi="Arial" w:cs="Arial"/>
        </w:rPr>
      </w:pPr>
      <w:r>
        <w:rPr>
          <w:rFonts w:ascii="Arial" w:hAnsi="Arial"/>
          <w:b/>
        </w:rPr>
        <w:t>Fertiliser coulter:</w:t>
      </w:r>
      <w:r>
        <w:rPr>
          <w:rFonts w:ascii="Arial" w:hAnsi="Arial"/>
        </w:rPr>
        <w:t xml:space="preserve"> Entry into the soil</w:t>
      </w:r>
    </w:p>
    <w:p w14:paraId="1C87A4ED" w14:textId="77777777" w:rsidR="00771B98" w:rsidRDefault="00771B98" w:rsidP="00771B98">
      <w:pPr>
        <w:spacing w:after="120" w:line="360" w:lineRule="auto"/>
        <w:ind w:right="1695"/>
        <w:rPr>
          <w:rFonts w:ascii="Arial" w:eastAsia="Arial" w:hAnsi="Arial" w:cs="Arial"/>
        </w:rPr>
      </w:pPr>
    </w:p>
    <w:p w14:paraId="0D921AEC" w14:textId="77777777" w:rsidR="00771B98" w:rsidRPr="00771B98" w:rsidRDefault="00771B98" w:rsidP="00771B98">
      <w:pPr>
        <w:spacing w:after="120" w:line="360" w:lineRule="auto"/>
        <w:ind w:right="1695"/>
        <w:rPr>
          <w:rFonts w:ascii="Arial" w:eastAsia="Arial" w:hAnsi="Arial" w:cs="Arial"/>
        </w:rPr>
      </w:pPr>
    </w:p>
    <w:p w14:paraId="3CFBFA4C" w14:textId="1CC0B06A" w:rsidR="00504DEE" w:rsidRDefault="00504DEE" w:rsidP="00161FDD">
      <w:pPr>
        <w:spacing w:after="120" w:line="360" w:lineRule="auto"/>
        <w:ind w:left="567" w:right="1695"/>
        <w:rPr>
          <w:rFonts w:ascii="Arial" w:eastAsia="Arial" w:hAnsi="Arial" w:cs="Arial"/>
        </w:rPr>
      </w:pPr>
      <w:r>
        <w:rPr>
          <w:rFonts w:ascii="Arial" w:hAnsi="Arial"/>
          <w:noProof/>
        </w:rPr>
        <w:drawing>
          <wp:inline distT="0" distB="0" distL="0" distR="0" wp14:anchorId="273C8D41" wp14:editId="0AF0DBA6">
            <wp:extent cx="5155200" cy="2880000"/>
            <wp:effectExtent l="0" t="0" r="1270" b="3175"/>
            <wp:docPr id="169854497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544977" name="Grafik 169854497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155200" cy="2880000"/>
                    </a:xfrm>
                    <a:prstGeom prst="rect">
                      <a:avLst/>
                    </a:prstGeom>
                  </pic:spPr>
                </pic:pic>
              </a:graphicData>
            </a:graphic>
          </wp:inline>
        </w:drawing>
      </w:r>
    </w:p>
    <w:p w14:paraId="069791AC" w14:textId="77777777" w:rsidR="00504DEE" w:rsidRPr="00504DEE" w:rsidRDefault="00504DEE" w:rsidP="00504DEE">
      <w:pPr>
        <w:spacing w:after="120" w:line="360" w:lineRule="auto"/>
        <w:ind w:left="567" w:right="1695"/>
        <w:rPr>
          <w:rFonts w:ascii="Arial" w:eastAsia="Arial" w:hAnsi="Arial" w:cs="Arial"/>
        </w:rPr>
      </w:pPr>
      <w:proofErr w:type="spellStart"/>
      <w:r>
        <w:rPr>
          <w:rFonts w:ascii="Arial" w:hAnsi="Arial"/>
        </w:rPr>
        <w:t>FertiSpot</w:t>
      </w:r>
      <w:proofErr w:type="spellEnd"/>
      <w:r>
        <w:rPr>
          <w:rFonts w:ascii="Arial" w:hAnsi="Arial"/>
        </w:rPr>
        <w:t xml:space="preserve"> fertilisation under plants</w:t>
      </w:r>
    </w:p>
    <w:p w14:paraId="1E6FF19A" w14:textId="77777777" w:rsidR="00504DEE" w:rsidRDefault="00504DEE" w:rsidP="00771B98">
      <w:pPr>
        <w:spacing w:after="120" w:line="360" w:lineRule="auto"/>
        <w:ind w:right="1695"/>
        <w:rPr>
          <w:rFonts w:ascii="Arial" w:eastAsia="Arial" w:hAnsi="Arial" w:cs="Arial"/>
        </w:rPr>
      </w:pPr>
    </w:p>
    <w:p w14:paraId="209CE33A" w14:textId="0A46D2C7" w:rsidR="00504DEE" w:rsidRDefault="00504DEE" w:rsidP="00161FDD">
      <w:pPr>
        <w:spacing w:after="120" w:line="360" w:lineRule="auto"/>
        <w:ind w:left="567" w:right="1695"/>
        <w:rPr>
          <w:rFonts w:ascii="Arial" w:eastAsia="Arial" w:hAnsi="Arial" w:cs="Arial"/>
        </w:rPr>
      </w:pPr>
      <w:r>
        <w:rPr>
          <w:rFonts w:ascii="Arial" w:hAnsi="Arial"/>
          <w:noProof/>
        </w:rPr>
        <w:drawing>
          <wp:inline distT="0" distB="0" distL="0" distR="0" wp14:anchorId="5A10C8E0" wp14:editId="4ABB3519">
            <wp:extent cx="5187600" cy="2880000"/>
            <wp:effectExtent l="0" t="0" r="0" b="3175"/>
            <wp:docPr id="164706515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065159" name="Grafik 164706515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187600" cy="2880000"/>
                    </a:xfrm>
                    <a:prstGeom prst="rect">
                      <a:avLst/>
                    </a:prstGeom>
                  </pic:spPr>
                </pic:pic>
              </a:graphicData>
            </a:graphic>
          </wp:inline>
        </w:drawing>
      </w:r>
    </w:p>
    <w:p w14:paraId="634CDEA3" w14:textId="77777777" w:rsidR="00504DEE" w:rsidRPr="00504DEE" w:rsidRDefault="00504DEE" w:rsidP="00504DEE">
      <w:pPr>
        <w:spacing w:after="120" w:line="360" w:lineRule="auto"/>
        <w:ind w:left="567" w:right="1695"/>
        <w:rPr>
          <w:rFonts w:ascii="Arial" w:eastAsia="Arial" w:hAnsi="Arial" w:cs="Arial"/>
        </w:rPr>
      </w:pPr>
      <w:proofErr w:type="spellStart"/>
      <w:r>
        <w:rPr>
          <w:rFonts w:ascii="Arial" w:hAnsi="Arial"/>
        </w:rPr>
        <w:t>FertiSpot</w:t>
      </w:r>
      <w:proofErr w:type="spellEnd"/>
      <w:r>
        <w:rPr>
          <w:rFonts w:ascii="Arial" w:hAnsi="Arial"/>
        </w:rPr>
        <w:t xml:space="preserve"> fertilisation between plants</w:t>
      </w:r>
    </w:p>
    <w:p w14:paraId="7C5A1D8D" w14:textId="77777777" w:rsidR="00504DEE" w:rsidRDefault="00504DEE" w:rsidP="00161FDD">
      <w:pPr>
        <w:spacing w:after="120" w:line="360" w:lineRule="auto"/>
        <w:ind w:left="567" w:right="1695"/>
        <w:rPr>
          <w:rFonts w:ascii="Arial" w:eastAsia="Arial" w:hAnsi="Arial" w:cs="Arial"/>
        </w:rPr>
      </w:pPr>
    </w:p>
    <w:p w14:paraId="4C1B7682" w14:textId="77777777" w:rsidR="00504DEE" w:rsidRDefault="00504DEE" w:rsidP="00161FDD">
      <w:pPr>
        <w:spacing w:after="120" w:line="360" w:lineRule="auto"/>
        <w:ind w:left="567" w:right="1695"/>
        <w:rPr>
          <w:rFonts w:ascii="Arial" w:eastAsia="Arial" w:hAnsi="Arial" w:cs="Arial"/>
        </w:rPr>
      </w:pPr>
    </w:p>
    <w:p w14:paraId="073ED436" w14:textId="77777777" w:rsidR="00771B98" w:rsidRDefault="00771B98" w:rsidP="00161FDD">
      <w:pPr>
        <w:spacing w:after="120" w:line="360" w:lineRule="auto"/>
        <w:ind w:left="567" w:right="1695"/>
        <w:rPr>
          <w:rFonts w:ascii="Arial" w:eastAsia="Arial" w:hAnsi="Arial" w:cs="Arial"/>
        </w:rPr>
      </w:pPr>
    </w:p>
    <w:p w14:paraId="43E6BC6E" w14:textId="77777777" w:rsidR="00771B98" w:rsidRDefault="00771B98" w:rsidP="00161FDD">
      <w:pPr>
        <w:spacing w:after="120" w:line="360" w:lineRule="auto"/>
        <w:ind w:left="567" w:right="1695"/>
        <w:rPr>
          <w:rFonts w:ascii="Arial" w:eastAsia="Arial" w:hAnsi="Arial" w:cs="Arial"/>
        </w:rPr>
      </w:pPr>
    </w:p>
    <w:p w14:paraId="3B13D668" w14:textId="77777777" w:rsidR="00771B98" w:rsidRDefault="00771B98" w:rsidP="00161FDD">
      <w:pPr>
        <w:spacing w:after="120" w:line="360" w:lineRule="auto"/>
        <w:ind w:left="567" w:right="1695"/>
        <w:rPr>
          <w:rFonts w:ascii="Arial" w:eastAsia="Arial" w:hAnsi="Arial" w:cs="Arial"/>
        </w:rPr>
      </w:pPr>
    </w:p>
    <w:p w14:paraId="538FEB0E" w14:textId="77777777" w:rsidR="00504DEE" w:rsidRDefault="00504DEE" w:rsidP="00161FDD">
      <w:pPr>
        <w:spacing w:after="120" w:line="360" w:lineRule="auto"/>
        <w:ind w:left="567" w:right="1695"/>
        <w:rPr>
          <w:rFonts w:ascii="Arial" w:eastAsia="Arial" w:hAnsi="Arial" w:cs="Arial"/>
        </w:rPr>
      </w:pPr>
    </w:p>
    <w:p w14:paraId="59DD7933" w14:textId="42E27E96" w:rsidR="00504DEE" w:rsidRDefault="00575C3A"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061F1E9B" wp14:editId="09C203AF">
            <wp:extent cx="5047200" cy="2880000"/>
            <wp:effectExtent l="0" t="0" r="0" b="3175"/>
            <wp:docPr id="8561227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12270" name="Grafik 8561227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047200" cy="2880000"/>
                    </a:xfrm>
                    <a:prstGeom prst="rect">
                      <a:avLst/>
                    </a:prstGeom>
                  </pic:spPr>
                </pic:pic>
              </a:graphicData>
            </a:graphic>
          </wp:inline>
        </w:drawing>
      </w:r>
    </w:p>
    <w:p w14:paraId="5DD5DCF9" w14:textId="77777777" w:rsidR="00504DEE" w:rsidRPr="00504DEE" w:rsidRDefault="00504DEE" w:rsidP="00504DEE">
      <w:pPr>
        <w:spacing w:after="120" w:line="360" w:lineRule="auto"/>
        <w:ind w:left="567" w:right="1695"/>
        <w:rPr>
          <w:rFonts w:ascii="Arial" w:eastAsia="Arial" w:hAnsi="Arial" w:cs="Arial"/>
          <w:b/>
          <w:bCs/>
        </w:rPr>
      </w:pPr>
      <w:r>
        <w:rPr>
          <w:rFonts w:ascii="Arial" w:hAnsi="Arial"/>
          <w:b/>
        </w:rPr>
        <w:t xml:space="preserve">Structure of the </w:t>
      </w:r>
      <w:proofErr w:type="spellStart"/>
      <w:r>
        <w:rPr>
          <w:rFonts w:ascii="Arial" w:hAnsi="Arial"/>
          <w:b/>
        </w:rPr>
        <w:t>FertiSpot</w:t>
      </w:r>
      <w:proofErr w:type="spellEnd"/>
      <w:r>
        <w:rPr>
          <w:rFonts w:ascii="Arial" w:hAnsi="Arial"/>
          <w:b/>
        </w:rPr>
        <w:t xml:space="preserve"> portioning unit – in detail</w:t>
      </w:r>
    </w:p>
    <w:p w14:paraId="7212FFD4" w14:textId="23B23163" w:rsidR="00504DEE" w:rsidRPr="00504DEE" w:rsidRDefault="00504DEE" w:rsidP="00504DEE">
      <w:pPr>
        <w:pStyle w:val="Listenabsatz"/>
        <w:numPr>
          <w:ilvl w:val="0"/>
          <w:numId w:val="15"/>
        </w:numPr>
        <w:spacing w:after="120" w:line="360" w:lineRule="auto"/>
        <w:ind w:right="1695"/>
        <w:rPr>
          <w:rFonts w:ascii="Arial" w:eastAsia="Arial" w:hAnsi="Arial" w:cs="Arial"/>
        </w:rPr>
      </w:pPr>
      <w:r>
        <w:rPr>
          <w:rFonts w:ascii="Arial" w:hAnsi="Arial"/>
        </w:rPr>
        <w:t>Fertiliser is continuously moved from the top to the portioning unit. The hose is connected to a standard metering unit.</w:t>
      </w:r>
    </w:p>
    <w:p w14:paraId="5DED69B7" w14:textId="704BC6BA" w:rsidR="00504DEE" w:rsidRPr="00504DEE" w:rsidRDefault="00504DEE" w:rsidP="00504DEE">
      <w:pPr>
        <w:pStyle w:val="Listenabsatz"/>
        <w:numPr>
          <w:ilvl w:val="0"/>
          <w:numId w:val="15"/>
        </w:numPr>
        <w:spacing w:after="120" w:line="360" w:lineRule="auto"/>
        <w:ind w:right="1695"/>
        <w:rPr>
          <w:rFonts w:ascii="Arial" w:eastAsia="Arial" w:hAnsi="Arial" w:cs="Arial"/>
        </w:rPr>
      </w:pPr>
      <w:r>
        <w:rPr>
          <w:rFonts w:ascii="Arial" w:hAnsi="Arial"/>
        </w:rPr>
        <w:t>The portioning rotor rotates faster than the entering granules and is driven at an appropriate rotational speed in relation to the singling by an electric motor.</w:t>
      </w:r>
    </w:p>
    <w:p w14:paraId="77FD7B80" w14:textId="5ED00D70" w:rsidR="00504DEE" w:rsidRPr="00504DEE" w:rsidRDefault="00504DEE" w:rsidP="00504DEE">
      <w:pPr>
        <w:pStyle w:val="Listenabsatz"/>
        <w:numPr>
          <w:ilvl w:val="0"/>
          <w:numId w:val="15"/>
        </w:numPr>
        <w:spacing w:after="120" w:line="360" w:lineRule="auto"/>
        <w:ind w:right="1695"/>
        <w:rPr>
          <w:rFonts w:ascii="Arial" w:eastAsia="Arial" w:hAnsi="Arial" w:cs="Arial"/>
        </w:rPr>
      </w:pPr>
      <w:r>
        <w:rPr>
          <w:rFonts w:ascii="Arial" w:hAnsi="Arial"/>
        </w:rPr>
        <w:t>The granules are collected and compressed in one revolution of the portioning rotor. A consolidated portion is produced.</w:t>
      </w:r>
    </w:p>
    <w:p w14:paraId="7BBC9C70" w14:textId="6EA05E72" w:rsidR="00504DEE" w:rsidRDefault="00504DEE" w:rsidP="00504DEE">
      <w:pPr>
        <w:pStyle w:val="Listenabsatz"/>
        <w:numPr>
          <w:ilvl w:val="0"/>
          <w:numId w:val="15"/>
        </w:numPr>
        <w:spacing w:after="120" w:line="360" w:lineRule="auto"/>
        <w:ind w:right="1695"/>
        <w:rPr>
          <w:rFonts w:ascii="Arial" w:eastAsia="Arial" w:hAnsi="Arial" w:cs="Arial"/>
        </w:rPr>
      </w:pPr>
      <w:r>
        <w:rPr>
          <w:rFonts w:ascii="Arial" w:hAnsi="Arial"/>
        </w:rPr>
        <w:t>The granules leave the portioning unit in the direction of the coulter.</w:t>
      </w:r>
    </w:p>
    <w:p w14:paraId="1933E914" w14:textId="77777777" w:rsidR="00504DEE" w:rsidRDefault="00504DEE" w:rsidP="00504DEE">
      <w:pPr>
        <w:spacing w:after="120" w:line="360" w:lineRule="auto"/>
        <w:ind w:right="1695"/>
        <w:rPr>
          <w:rFonts w:ascii="Arial" w:eastAsia="Arial" w:hAnsi="Arial" w:cs="Arial"/>
        </w:rPr>
      </w:pPr>
    </w:p>
    <w:p w14:paraId="6F3DB97B" w14:textId="77777777" w:rsidR="00504DEE" w:rsidRDefault="00504DEE" w:rsidP="00504DEE">
      <w:pPr>
        <w:spacing w:after="120" w:line="360" w:lineRule="auto"/>
        <w:ind w:right="1695"/>
        <w:rPr>
          <w:rFonts w:ascii="Arial" w:eastAsia="Arial" w:hAnsi="Arial" w:cs="Arial"/>
        </w:rPr>
      </w:pPr>
    </w:p>
    <w:p w14:paraId="0D444C75" w14:textId="023A8E37" w:rsidR="00504DEE" w:rsidRDefault="00504DEE" w:rsidP="00504DE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B6E7CBE" wp14:editId="77C88948">
            <wp:extent cx="4053600" cy="2880000"/>
            <wp:effectExtent l="0" t="0" r="0" b="3175"/>
            <wp:docPr id="47112960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129603" name="Grafik 47112960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9EA0250" w14:textId="77777777" w:rsidR="00504DEE" w:rsidRPr="00504DEE" w:rsidRDefault="00504DEE" w:rsidP="00504DEE">
      <w:pPr>
        <w:spacing w:after="120" w:line="360" w:lineRule="auto"/>
        <w:ind w:left="567" w:right="1695"/>
        <w:rPr>
          <w:rFonts w:ascii="Arial" w:eastAsia="Arial" w:hAnsi="Arial" w:cs="Arial"/>
        </w:rPr>
      </w:pPr>
      <w:proofErr w:type="spellStart"/>
      <w:r>
        <w:rPr>
          <w:rFonts w:ascii="Arial" w:hAnsi="Arial"/>
        </w:rPr>
        <w:t>FertiSpot</w:t>
      </w:r>
      <w:proofErr w:type="spellEnd"/>
      <w:r>
        <w:rPr>
          <w:rFonts w:ascii="Arial" w:hAnsi="Arial"/>
        </w:rPr>
        <w:t xml:space="preserve"> is fully integrated in the ISOBUS software of the </w:t>
      </w:r>
      <w:proofErr w:type="spellStart"/>
      <w:r>
        <w:rPr>
          <w:rFonts w:ascii="Arial" w:hAnsi="Arial"/>
        </w:rPr>
        <w:t>Precea</w:t>
      </w:r>
      <w:proofErr w:type="spellEnd"/>
      <w:r>
        <w:rPr>
          <w:rFonts w:ascii="Arial" w:hAnsi="Arial"/>
        </w:rPr>
        <w:t xml:space="preserve">. Metering can be changed from spot fertilisation to band placement via </w:t>
      </w:r>
      <w:proofErr w:type="spellStart"/>
      <w:r>
        <w:rPr>
          <w:rFonts w:ascii="Arial" w:hAnsi="Arial"/>
        </w:rPr>
        <w:t>AmaTron</w:t>
      </w:r>
      <w:proofErr w:type="spellEnd"/>
      <w:r>
        <w:rPr>
          <w:rFonts w:ascii="Arial" w:hAnsi="Arial"/>
        </w:rPr>
        <w:t xml:space="preserve"> 4.</w:t>
      </w:r>
    </w:p>
    <w:p w14:paraId="7E0D19F2" w14:textId="77777777" w:rsidR="00504DEE" w:rsidRDefault="00504DEE" w:rsidP="00504DEE">
      <w:pPr>
        <w:spacing w:after="120" w:line="360" w:lineRule="auto"/>
        <w:ind w:left="567" w:right="1695"/>
        <w:rPr>
          <w:rFonts w:ascii="Arial" w:eastAsia="Arial" w:hAnsi="Arial" w:cs="Arial"/>
        </w:rPr>
      </w:pPr>
    </w:p>
    <w:p w14:paraId="36EB5049" w14:textId="77777777" w:rsidR="00504DEE" w:rsidRDefault="00504DEE" w:rsidP="00504DEE">
      <w:pPr>
        <w:spacing w:after="120" w:line="360" w:lineRule="auto"/>
        <w:ind w:left="567" w:right="1695"/>
        <w:rPr>
          <w:rFonts w:ascii="Arial" w:eastAsia="Arial" w:hAnsi="Arial" w:cs="Arial"/>
        </w:rPr>
      </w:pPr>
    </w:p>
    <w:p w14:paraId="508EBD22" w14:textId="47EC1129" w:rsidR="00504DEE" w:rsidRDefault="00504DEE" w:rsidP="00504DEE">
      <w:pPr>
        <w:spacing w:after="120" w:line="360" w:lineRule="auto"/>
        <w:ind w:left="567" w:right="1695"/>
        <w:rPr>
          <w:rFonts w:ascii="Arial" w:eastAsia="Arial" w:hAnsi="Arial" w:cs="Arial"/>
        </w:rPr>
      </w:pPr>
      <w:r>
        <w:rPr>
          <w:rFonts w:ascii="Arial" w:hAnsi="Arial"/>
          <w:noProof/>
        </w:rPr>
        <w:drawing>
          <wp:inline distT="0" distB="0" distL="0" distR="0" wp14:anchorId="465B2165" wp14:editId="20730661">
            <wp:extent cx="1440000" cy="1440000"/>
            <wp:effectExtent l="0" t="0" r="0" b="0"/>
            <wp:docPr id="65554335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543351" name="Grafik 65554335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6B7A868" w14:textId="77777777" w:rsidR="00504DEE" w:rsidRDefault="00504DEE" w:rsidP="00504DEE">
      <w:pPr>
        <w:spacing w:after="120" w:line="360" w:lineRule="auto"/>
        <w:ind w:left="567" w:right="1695"/>
        <w:rPr>
          <w:rFonts w:ascii="Arial" w:eastAsia="Arial" w:hAnsi="Arial" w:cs="Arial"/>
        </w:rPr>
      </w:pPr>
      <w:r>
        <w:rPr>
          <w:rFonts w:ascii="Arial" w:hAnsi="Arial"/>
        </w:rPr>
        <w:t xml:space="preserve">Video: </w:t>
      </w:r>
      <w:proofErr w:type="spellStart"/>
      <w:r>
        <w:rPr>
          <w:rFonts w:ascii="Arial" w:hAnsi="Arial"/>
        </w:rPr>
        <w:t>FertiSpot</w:t>
      </w:r>
      <w:proofErr w:type="spellEnd"/>
      <w:r>
        <w:rPr>
          <w:rFonts w:ascii="Arial" w:hAnsi="Arial"/>
        </w:rPr>
        <w:t xml:space="preserve"> in work: </w:t>
      </w:r>
    </w:p>
    <w:p w14:paraId="628970F6" w14:textId="04345543" w:rsidR="00504DEE" w:rsidRPr="00504DEE" w:rsidRDefault="00504DEE" w:rsidP="00504DEE">
      <w:pPr>
        <w:spacing w:after="120" w:line="360" w:lineRule="auto"/>
        <w:ind w:left="567" w:right="1695"/>
        <w:rPr>
          <w:rFonts w:ascii="Arial" w:eastAsia="Arial" w:hAnsi="Arial" w:cs="Arial"/>
          <w:b/>
          <w:bCs/>
        </w:rPr>
      </w:pPr>
      <w:r>
        <w:rPr>
          <w:rFonts w:ascii="Arial" w:hAnsi="Arial"/>
          <w:b/>
        </w:rPr>
        <w:t>www.amazone.net/yt-fertispot</w:t>
      </w:r>
    </w:p>
    <w:p w14:paraId="418D5C8A" w14:textId="77777777" w:rsidR="00504DEE" w:rsidRDefault="00504DEE" w:rsidP="00504DEE">
      <w:pPr>
        <w:spacing w:after="120" w:line="360" w:lineRule="auto"/>
        <w:ind w:left="567" w:right="1695"/>
        <w:rPr>
          <w:rFonts w:ascii="Arial" w:eastAsia="Arial" w:hAnsi="Arial" w:cs="Arial"/>
        </w:rPr>
      </w:pPr>
    </w:p>
    <w:p w14:paraId="15821472" w14:textId="77777777" w:rsidR="00504DEE" w:rsidRDefault="00504DEE" w:rsidP="00504DEE">
      <w:pPr>
        <w:spacing w:after="120" w:line="360" w:lineRule="auto"/>
        <w:ind w:left="567" w:right="1695"/>
        <w:rPr>
          <w:rFonts w:ascii="Arial" w:eastAsia="Arial" w:hAnsi="Arial" w:cs="Arial"/>
        </w:rPr>
      </w:pPr>
    </w:p>
    <w:p w14:paraId="42647DFA" w14:textId="7DC06E6C" w:rsidR="00504DEE" w:rsidRDefault="00504DEE" w:rsidP="00504DE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A5929B5" wp14:editId="725776BC">
            <wp:extent cx="6120000" cy="2649600"/>
            <wp:effectExtent l="0" t="0" r="1905" b="5080"/>
            <wp:docPr id="68129296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92969" name="Grafik 68129296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000" cy="2649600"/>
                    </a:xfrm>
                    <a:prstGeom prst="rect">
                      <a:avLst/>
                    </a:prstGeom>
                  </pic:spPr>
                </pic:pic>
              </a:graphicData>
            </a:graphic>
          </wp:inline>
        </w:drawing>
      </w:r>
    </w:p>
    <w:p w14:paraId="5C8F95DD" w14:textId="5FDFDB13" w:rsidR="00504DEE" w:rsidRPr="00504DEE" w:rsidRDefault="00504DEE" w:rsidP="00504DEE">
      <w:pPr>
        <w:spacing w:after="120" w:line="360" w:lineRule="auto"/>
        <w:ind w:left="567" w:right="1695"/>
        <w:rPr>
          <w:rFonts w:ascii="Arial" w:eastAsia="Arial" w:hAnsi="Arial" w:cs="Arial"/>
        </w:rPr>
      </w:pPr>
      <w:r>
        <w:rPr>
          <w:rFonts w:ascii="Arial" w:hAnsi="Arial"/>
        </w:rPr>
        <w:t>Spot-accurate fertiliser application 5 cm from and 5 cm below the maize seed. The fertiliser is only delivered where it is immediately available to the plant.</w:t>
      </w:r>
    </w:p>
    <w:p w14:paraId="07C178FE" w14:textId="77777777" w:rsidR="00504DEE" w:rsidRDefault="00504DEE" w:rsidP="00504DEE">
      <w:pPr>
        <w:spacing w:after="120" w:line="360" w:lineRule="auto"/>
        <w:ind w:left="567" w:right="1695"/>
        <w:rPr>
          <w:rFonts w:ascii="Arial" w:eastAsia="Arial" w:hAnsi="Arial" w:cs="Arial"/>
        </w:rPr>
      </w:pPr>
    </w:p>
    <w:p w14:paraId="7856BA14" w14:textId="77777777" w:rsidR="00504DEE" w:rsidRDefault="00504DEE" w:rsidP="00504DEE">
      <w:pPr>
        <w:spacing w:after="120" w:line="360" w:lineRule="auto"/>
        <w:ind w:left="567" w:right="1695"/>
        <w:rPr>
          <w:rFonts w:ascii="Arial" w:eastAsia="Arial" w:hAnsi="Arial" w:cs="Arial"/>
        </w:rPr>
      </w:pPr>
    </w:p>
    <w:p w14:paraId="1544679C" w14:textId="4048DD9A" w:rsidR="00504DEE" w:rsidRDefault="00771B98" w:rsidP="00504DE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66A2A59" wp14:editId="2650842F">
            <wp:extent cx="2880000" cy="2880000"/>
            <wp:effectExtent l="0" t="0" r="3175" b="3175"/>
            <wp:docPr id="62501376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013760" name="Grafik 62501376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3E0D6EBE" w14:textId="25A5916C" w:rsidR="00504DEE" w:rsidRDefault="00504DEE" w:rsidP="00504DEE">
      <w:pPr>
        <w:spacing w:after="120" w:line="360" w:lineRule="auto"/>
        <w:ind w:left="567" w:right="1695"/>
        <w:rPr>
          <w:rFonts w:ascii="Arial" w:eastAsia="Arial" w:hAnsi="Arial" w:cs="Arial"/>
        </w:rPr>
      </w:pPr>
      <w:r>
        <w:rPr>
          <w:rFonts w:ascii="Arial" w:hAnsi="Arial"/>
        </w:rPr>
        <w:t>The diagram shows that spot application with a simultaneous 25% reduction in the use of under-root fertiliser can achieve the same yield level as conventional band application.</w:t>
      </w:r>
    </w:p>
    <w:p w14:paraId="39A83A7F" w14:textId="77777777" w:rsidR="00504DEE" w:rsidRDefault="00504DEE" w:rsidP="00504DEE">
      <w:pPr>
        <w:spacing w:after="120" w:line="360" w:lineRule="auto"/>
        <w:ind w:left="567" w:right="1695"/>
        <w:rPr>
          <w:rFonts w:ascii="Arial" w:eastAsia="Arial" w:hAnsi="Arial" w:cs="Arial"/>
        </w:rPr>
      </w:pPr>
    </w:p>
    <w:p w14:paraId="6BEFB3B3" w14:textId="6A36836E" w:rsidR="00504DEE" w:rsidRPr="00504DEE" w:rsidRDefault="00575C3A" w:rsidP="00504DE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85D0F1E" wp14:editId="35F563D6">
            <wp:extent cx="2520000" cy="2520000"/>
            <wp:effectExtent l="0" t="0" r="0" b="0"/>
            <wp:docPr id="31298562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985626" name="Grafik 31298562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20000" cy="2520000"/>
                    </a:xfrm>
                    <a:prstGeom prst="rect">
                      <a:avLst/>
                    </a:prstGeom>
                  </pic:spPr>
                </pic:pic>
              </a:graphicData>
            </a:graphic>
          </wp:inline>
        </w:drawing>
      </w:r>
    </w:p>
    <w:p w14:paraId="288BF973" w14:textId="03E93437" w:rsidR="00504DEE" w:rsidRPr="00504DEE" w:rsidRDefault="00504DEE" w:rsidP="00504DEE">
      <w:pPr>
        <w:spacing w:after="120" w:line="360" w:lineRule="auto"/>
        <w:ind w:left="567" w:right="1695"/>
        <w:rPr>
          <w:rFonts w:ascii="Arial" w:eastAsia="Arial" w:hAnsi="Arial" w:cs="Arial"/>
        </w:rPr>
      </w:pPr>
      <w:r>
        <w:rPr>
          <w:rFonts w:ascii="Arial" w:hAnsi="Arial"/>
        </w:rPr>
        <w:t>Comparison of the contribution margins between band application of the fertiliser at 100 % and spot application at 75 %.</w:t>
      </w:r>
    </w:p>
    <w:p w14:paraId="35523488" w14:textId="77777777" w:rsidR="00504DEE" w:rsidRDefault="00504DEE" w:rsidP="00504DEE">
      <w:pPr>
        <w:spacing w:after="120" w:line="360" w:lineRule="auto"/>
        <w:ind w:left="567" w:right="1695"/>
        <w:rPr>
          <w:rFonts w:ascii="Arial" w:eastAsia="Arial" w:hAnsi="Arial" w:cs="Arial"/>
        </w:rPr>
      </w:pPr>
    </w:p>
    <w:p w14:paraId="45BBA7F4" w14:textId="77777777" w:rsidR="00504DEE" w:rsidRPr="00504DEE" w:rsidRDefault="00504DEE" w:rsidP="00504DEE">
      <w:pPr>
        <w:spacing w:after="120" w:line="360" w:lineRule="auto"/>
        <w:ind w:left="567" w:right="1695"/>
        <w:rPr>
          <w:rFonts w:ascii="Arial" w:eastAsia="Arial" w:hAnsi="Arial" w:cs="Arial"/>
        </w:rPr>
      </w:pPr>
    </w:p>
    <w:p w14:paraId="78EBEE34" w14:textId="77777777" w:rsidR="00161FDD" w:rsidRDefault="00161FDD" w:rsidP="00161FDD">
      <w:pPr>
        <w:spacing w:after="120" w:line="360" w:lineRule="auto"/>
        <w:ind w:right="1695"/>
        <w:rPr>
          <w:rFonts w:ascii="Arial" w:eastAsia="Arial" w:hAnsi="Arial" w:cs="Arial"/>
        </w:rPr>
      </w:pPr>
    </w:p>
    <w:p w14:paraId="0913D630" w14:textId="77777777" w:rsidR="00C46CAE" w:rsidRDefault="00C46CAE" w:rsidP="00161FDD">
      <w:pPr>
        <w:spacing w:after="120" w:line="360" w:lineRule="auto"/>
        <w:ind w:right="1695"/>
        <w:rPr>
          <w:rFonts w:ascii="Arial" w:eastAsia="Arial" w:hAnsi="Arial" w:cs="Arial"/>
        </w:rPr>
      </w:pPr>
    </w:p>
    <w:p w14:paraId="55985B04" w14:textId="77777777" w:rsidR="00575C3A" w:rsidRDefault="00575C3A" w:rsidP="00161FDD">
      <w:pPr>
        <w:spacing w:after="120" w:line="360" w:lineRule="auto"/>
        <w:ind w:right="1695"/>
        <w:rPr>
          <w:rFonts w:ascii="Arial" w:eastAsia="Arial" w:hAnsi="Arial" w:cs="Arial"/>
        </w:rPr>
      </w:pPr>
    </w:p>
    <w:p w14:paraId="167EC922" w14:textId="77777777" w:rsidR="00575C3A" w:rsidRPr="00F4316E" w:rsidRDefault="00575C3A"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w:t>
      </w:r>
      <w:proofErr w:type="gramStart"/>
      <w:r>
        <w:rPr>
          <w:rFonts w:ascii="Arial" w:hAnsi="Arial"/>
          <w:color w:val="808080" w:themeColor="background1" w:themeShade="80"/>
          <w:sz w:val="20"/>
        </w:rPr>
        <w:t>content</w:t>
      </w:r>
      <w:proofErr w:type="gramEnd"/>
      <w:r>
        <w:rPr>
          <w:rFonts w:ascii="Arial" w:hAnsi="Arial"/>
          <w:color w:val="808080" w:themeColor="background1" w:themeShade="80"/>
          <w:sz w:val="20"/>
        </w:rPr>
        <w:t xml:space="preserve">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The permissible axle </w:t>
      </w:r>
      <w:proofErr w:type="gramStart"/>
      <w:r>
        <w:rPr>
          <w:rFonts w:ascii="Arial" w:hAnsi="Arial"/>
          <w:color w:val="808080" w:themeColor="background1" w:themeShade="80"/>
          <w:sz w:val="20"/>
        </w:rPr>
        <w:t>loads</w:t>
      </w:r>
      <w:proofErr w:type="gramEnd"/>
      <w:r>
        <w:rPr>
          <w:rFonts w:ascii="Arial" w:hAnsi="Arial"/>
          <w:color w:val="808080" w:themeColor="background1" w:themeShade="80"/>
          <w:sz w:val="20"/>
        </w:rPr>
        <w:t xml:space="preserve"> and total weights of the tractor should be checked. Not all the listed combination options are possible with all tractor manufacturers.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7F8944CC" w14:textId="0EE1D6C6"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2000 people at nine different production sites. The agricultural machinery range includes soil tillage implements, seed drills, fertiliser spreaders and crop protection equipment.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has been part of the AMAZONE Group since 2019. Based on these core competencies, AMAZONE is now the specialist for intelligent crop production in agriculture. Further information: </w:t>
      </w:r>
      <w:hyperlink r:id="rId19"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014C0C68">
            <wp:extent cx="241300" cy="241300"/>
            <wp:effectExtent l="0" t="0" r="6350" b="6350"/>
            <wp:docPr id="13" name="Grafik 13">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45FC761D">
            <wp:extent cx="241300" cy="241300"/>
            <wp:effectExtent l="0" t="0" r="6350" b="6350"/>
            <wp:docPr id="12" name="Grafik 12">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DEBB145">
            <wp:extent cx="241300" cy="241300"/>
            <wp:effectExtent l="0" t="0" r="6350" b="6350"/>
            <wp:docPr id="11" name="Grafik 11">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7D93E601">
            <wp:extent cx="241300" cy="241300"/>
            <wp:effectExtent l="0" t="0" r="6350" b="6350"/>
            <wp:docPr id="10" name="Grafik 10">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130F0D4">
            <wp:extent cx="241300" cy="241300"/>
            <wp:effectExtent l="0" t="0" r="6350" b="6350"/>
            <wp:docPr id="7" name="Grafik 7">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5"/>
      <w:headerReference w:type="default" r:id="rId36"/>
      <w:footerReference w:type="even" r:id="rId37"/>
      <w:footerReference w:type="default" r:id="rId38"/>
      <w:headerReference w:type="first" r:id="rId39"/>
      <w:footerReference w:type="first" r:id="rId4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80AD78" w14:textId="77777777" w:rsidR="001E0170" w:rsidRDefault="001E0170">
      <w:r>
        <w:separator/>
      </w:r>
    </w:p>
  </w:endnote>
  <w:endnote w:type="continuationSeparator" w:id="0">
    <w:p w14:paraId="2CA76168" w14:textId="77777777" w:rsidR="001E0170" w:rsidRDefault="001E01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of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575C3A" w:rsidRDefault="005E0980" w:rsidP="006F7755">
                          <w:pPr>
                            <w:spacing w:line="280" w:lineRule="exact"/>
                            <w:rPr>
                              <w:rFonts w:ascii="Arial" w:hAnsi="Arial"/>
                              <w:spacing w:val="2"/>
                              <w:sz w:val="20"/>
                              <w:lang w:val="de-DE"/>
                            </w:rPr>
                          </w:pPr>
                          <w:r w:rsidRPr="00575C3A">
                            <w:rPr>
                              <w:rFonts w:ascii="Arial" w:hAnsi="Arial"/>
                              <w:sz w:val="20"/>
                              <w:lang w:val="de-DE"/>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575C3A" w:rsidRDefault="005E0980" w:rsidP="006F7755">
                    <w:pPr>
                      <w:spacing w:line="280" w:lineRule="exact"/>
                      <w:rPr>
                        <w:rFonts w:ascii="Arial" w:hAnsi="Arial"/>
                        <w:spacing w:val="2"/>
                        <w:sz w:val="20"/>
                        <w:lang w:val="de-DE"/>
                      </w:rPr>
                    </w:pPr>
                    <w:r w:rsidRPr="00575C3A">
                      <w:rPr>
                        <w:rFonts w:ascii="Arial" w:hAnsi="Arial"/>
                        <w:sz w:val="20"/>
                        <w:lang w:val="de-DE"/>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BA8083" w14:textId="77777777" w:rsidR="001E0170" w:rsidRDefault="001E0170">
      <w:r>
        <w:separator/>
      </w:r>
    </w:p>
  </w:footnote>
  <w:footnote w:type="continuationSeparator" w:id="0">
    <w:p w14:paraId="24BB29D6" w14:textId="77777777" w:rsidR="001E0170" w:rsidRDefault="001E01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676724"/>
    <w:multiLevelType w:val="hybridMultilevel"/>
    <w:tmpl w:val="2F9E3498"/>
    <w:lvl w:ilvl="0" w:tplc="FFFFFFFF">
      <w:start w:val="1"/>
      <w:numFmt w:val="bullet"/>
      <w:lvlText w:val=""/>
      <w:lvlJc w:val="left"/>
      <w:pPr>
        <w:ind w:left="720" w:hanging="360"/>
      </w:pPr>
      <w:rPr>
        <w:rFonts w:ascii="Symbol" w:hAnsi="Symbol" w:hint="default"/>
      </w:rPr>
    </w:lvl>
    <w:lvl w:ilvl="1" w:tplc="2FAA1B28">
      <w:numFmt w:val="bullet"/>
      <w:lvlText w:val="–"/>
      <w:lvlJc w:val="left"/>
      <w:pPr>
        <w:ind w:left="1440" w:hanging="360"/>
      </w:pPr>
      <w:rPr>
        <w:rFonts w:ascii="Arial" w:eastAsia="Arial"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21501AC"/>
    <w:multiLevelType w:val="hybridMultilevel"/>
    <w:tmpl w:val="7E4CB62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ACA683F"/>
    <w:multiLevelType w:val="hybridMultilevel"/>
    <w:tmpl w:val="2872ED4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D451516"/>
    <w:multiLevelType w:val="hybridMultilevel"/>
    <w:tmpl w:val="2F7C2F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AF70C0B"/>
    <w:multiLevelType w:val="hybridMultilevel"/>
    <w:tmpl w:val="80F4ABE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5"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0"/>
  </w:num>
  <w:num w:numId="3" w16cid:durableId="613364659">
    <w:abstractNumId w:val="5"/>
  </w:num>
  <w:num w:numId="4" w16cid:durableId="1043675452">
    <w:abstractNumId w:val="6"/>
  </w:num>
  <w:num w:numId="5" w16cid:durableId="2011105495">
    <w:abstractNumId w:val="2"/>
  </w:num>
  <w:num w:numId="6" w16cid:durableId="240917465">
    <w:abstractNumId w:val="1"/>
  </w:num>
  <w:num w:numId="7" w16cid:durableId="750658751">
    <w:abstractNumId w:val="15"/>
  </w:num>
  <w:num w:numId="8" w16cid:durableId="294531490">
    <w:abstractNumId w:val="13"/>
  </w:num>
  <w:num w:numId="9" w16cid:durableId="2071071478">
    <w:abstractNumId w:val="4"/>
  </w:num>
  <w:num w:numId="10" w16cid:durableId="136532471">
    <w:abstractNumId w:val="9"/>
  </w:num>
  <w:num w:numId="11" w16cid:durableId="2055814173">
    <w:abstractNumId w:val="10"/>
  </w:num>
  <w:num w:numId="12" w16cid:durableId="636498599">
    <w:abstractNumId w:val="16"/>
  </w:num>
  <w:num w:numId="13" w16cid:durableId="118423553">
    <w:abstractNumId w:val="17"/>
  </w:num>
  <w:num w:numId="14" w16cid:durableId="829760175">
    <w:abstractNumId w:val="14"/>
  </w:num>
  <w:num w:numId="15" w16cid:durableId="846485430">
    <w:abstractNumId w:val="7"/>
  </w:num>
  <w:num w:numId="16" w16cid:durableId="1319649389">
    <w:abstractNumId w:val="11"/>
  </w:num>
  <w:num w:numId="17" w16cid:durableId="861210839">
    <w:abstractNumId w:val="12"/>
  </w:num>
  <w:num w:numId="18" w16cid:durableId="30921698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5F1"/>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0170"/>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4DEE"/>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334B"/>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5C3A"/>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B98"/>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1704"/>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51"/>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CA6"/>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85B97"/>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www.youtube.com/user/amazonede" TargetMode="External"/><Relationship Id="rId39" Type="http://schemas.openxmlformats.org/officeDocument/2006/relationships/header" Target="header3.xml"/><Relationship Id="rId21" Type="http://schemas.openxmlformats.org/officeDocument/2006/relationships/image" Target="media/image12.jpeg"/><Relationship Id="rId34" Type="http://schemas.openxmlformats.org/officeDocument/2006/relationships/image" Target="cid:Xing1_e3730686-2953-47a9-9c47-dbaa518a9207.jpg"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www.facebook.com/amazone.group" TargetMode="External"/><Relationship Id="rId29" Type="http://schemas.openxmlformats.org/officeDocument/2006/relationships/hyperlink" Target="https://www.linkedin.com/company/amazone-group/"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hyperlink" Target="https://www.xing.com/company/amazone" TargetMode="External"/><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instagram.com/amazone_group" TargetMode="External"/><Relationship Id="rId28" Type="http://schemas.openxmlformats.org/officeDocument/2006/relationships/image" Target="cid:YT_e9180d16-5a2b-4618-92e9-22a015f9cafb.jpg" TargetMode="External"/><Relationship Id="rId36"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hyperlink" Target="http://www.amazone.net" TargetMode="External"/><Relationship Id="rId31" Type="http://schemas.openxmlformats.org/officeDocument/2006/relationships/image" Target="cid:LinkedIn_80de4e9c-c7a3-41e3-8e11-063f7eace13d.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FB_70d43fd1-a841-4de4-bbaa-3e1f495f95d3.jpg" TargetMode="External"/><Relationship Id="rId27" Type="http://schemas.openxmlformats.org/officeDocument/2006/relationships/image" Target="media/image14.jpeg"/><Relationship Id="rId30" Type="http://schemas.openxmlformats.org/officeDocument/2006/relationships/image" Target="media/image15.jpeg"/><Relationship Id="rId35"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IG_efb650a7-31e4-4674-98db-f2d2d5c58dce.jpg" TargetMode="External"/><Relationship Id="rId33" Type="http://schemas.openxmlformats.org/officeDocument/2006/relationships/image" Target="media/image16.jpeg"/><Relationship Id="rId38" Type="http://schemas.openxmlformats.org/officeDocument/2006/relationships/footer" Target="footer2.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7.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1068</Words>
  <Characters>6729</Characters>
  <Application>Microsoft Office Word</Application>
  <DocSecurity>0</DocSecurity>
  <Lines>56</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7782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