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4E2E6A" w14:textId="386CF38E" w:rsidR="00C46CAE" w:rsidRPr="00231069" w:rsidRDefault="00496488" w:rsidP="00496488">
      <w:pPr>
        <w:spacing w:after="120" w:line="360" w:lineRule="auto"/>
        <w:ind w:left="567" w:right="1695"/>
        <w:rPr>
          <w:rFonts w:ascii="Arial" w:hAnsi="Arial" w:cs="Arial"/>
          <w:b/>
          <w:bCs/>
          <w:sz w:val="28"/>
          <w:szCs w:val="28"/>
        </w:rPr>
      </w:pPr>
      <w:proofErr w:type="spellStart"/>
      <w:r>
        <w:rPr>
          <w:rFonts w:ascii="Arial" w:hAnsi="Arial"/>
          <w:b/>
          <w:sz w:val="28"/>
        </w:rPr>
        <w:t>FertiSpot</w:t>
      </w:r>
      <w:proofErr w:type="spellEnd"/>
      <w:r>
        <w:rPr>
          <w:rFonts w:ascii="Arial" w:hAnsi="Arial"/>
          <w:b/>
          <w:sz w:val="28"/>
        </w:rPr>
        <w:t xml:space="preserve"> pour le semoir </w:t>
      </w:r>
      <w:proofErr w:type="spellStart"/>
      <w:r>
        <w:rPr>
          <w:rFonts w:ascii="Arial" w:hAnsi="Arial"/>
          <w:b/>
          <w:sz w:val="28"/>
        </w:rPr>
        <w:t>monograine</w:t>
      </w:r>
      <w:proofErr w:type="spellEnd"/>
      <w:r>
        <w:rPr>
          <w:rFonts w:ascii="Arial" w:hAnsi="Arial"/>
          <w:b/>
          <w:sz w:val="28"/>
        </w:rPr>
        <w:t xml:space="preserve"> </w:t>
      </w:r>
      <w:proofErr w:type="spellStart"/>
      <w:r>
        <w:rPr>
          <w:rFonts w:ascii="Arial" w:hAnsi="Arial"/>
          <w:b/>
          <w:sz w:val="28"/>
        </w:rPr>
        <w:t>Precea</w:t>
      </w:r>
      <w:proofErr w:type="spellEnd"/>
    </w:p>
    <w:p w14:paraId="51714D9B" w14:textId="77777777" w:rsidR="00496488" w:rsidRPr="00496488" w:rsidRDefault="00496488" w:rsidP="00496488">
      <w:pPr>
        <w:spacing w:line="360" w:lineRule="auto"/>
        <w:ind w:left="567" w:right="1695"/>
        <w:rPr>
          <w:rFonts w:ascii="Arial" w:hAnsi="Arial" w:cs="Arial"/>
          <w:b/>
          <w:bCs/>
        </w:rPr>
      </w:pPr>
      <w:r>
        <w:rPr>
          <w:rFonts w:ascii="Arial" w:hAnsi="Arial"/>
          <w:b/>
        </w:rPr>
        <w:t xml:space="preserve">Application précise de l’engrais : synchronisé avec les semences et pour tous les modèles </w:t>
      </w:r>
      <w:proofErr w:type="spellStart"/>
      <w:r>
        <w:rPr>
          <w:rFonts w:ascii="Arial" w:hAnsi="Arial"/>
          <w:b/>
        </w:rPr>
        <w:t>Precea</w:t>
      </w:r>
      <w:proofErr w:type="spellEnd"/>
    </w:p>
    <w:p w14:paraId="65EA582A" w14:textId="77777777" w:rsidR="00161FDD" w:rsidRDefault="00161FDD" w:rsidP="00161FDD">
      <w:pPr>
        <w:spacing w:line="360" w:lineRule="auto"/>
        <w:ind w:left="567" w:right="1695"/>
        <w:rPr>
          <w:rFonts w:ascii="Arial" w:hAnsi="Arial" w:cs="Arial"/>
        </w:rPr>
      </w:pPr>
    </w:p>
    <w:p w14:paraId="7A07821A" w14:textId="77777777" w:rsidR="00496488" w:rsidRDefault="00496488" w:rsidP="00496488">
      <w:pPr>
        <w:spacing w:after="120" w:line="360" w:lineRule="auto"/>
        <w:ind w:left="567" w:right="1695"/>
        <w:rPr>
          <w:rFonts w:ascii="Arial" w:eastAsia="Arial" w:hAnsi="Arial" w:cs="Arial"/>
        </w:rPr>
      </w:pPr>
      <w:r>
        <w:rPr>
          <w:rFonts w:ascii="Arial" w:hAnsi="Arial"/>
        </w:rPr>
        <w:t xml:space="preserve">Le système </w:t>
      </w:r>
      <w:proofErr w:type="spellStart"/>
      <w:r>
        <w:rPr>
          <w:rFonts w:ascii="Arial" w:hAnsi="Arial"/>
        </w:rPr>
        <w:t>FertiSpot</w:t>
      </w:r>
      <w:proofErr w:type="spellEnd"/>
      <w:r>
        <w:rPr>
          <w:rFonts w:ascii="Arial" w:hAnsi="Arial"/>
        </w:rPr>
        <w:t xml:space="preserve"> permet de positionner avec précision une quantité d’engrais en dessous de la semence. En raison des obligations légales visant à réduire la quantité d'engrais autorisée, le défi consiste à utiliser les engrais de manière toujours plus efficiente. Cela a incité AMAZONE à poursuivre le développement du système </w:t>
      </w:r>
      <w:proofErr w:type="spellStart"/>
      <w:r>
        <w:rPr>
          <w:rFonts w:ascii="Arial" w:hAnsi="Arial"/>
        </w:rPr>
        <w:t>FertiSpot</w:t>
      </w:r>
      <w:proofErr w:type="spellEnd"/>
      <w:r>
        <w:rPr>
          <w:rFonts w:ascii="Arial" w:hAnsi="Arial"/>
        </w:rPr>
        <w:t>. Pour la présentation à l’</w:t>
      </w:r>
      <w:proofErr w:type="spellStart"/>
      <w:r>
        <w:rPr>
          <w:rFonts w:ascii="Arial" w:hAnsi="Arial"/>
        </w:rPr>
        <w:t>Agritechnica</w:t>
      </w:r>
      <w:proofErr w:type="spellEnd"/>
      <w:r>
        <w:rPr>
          <w:rFonts w:ascii="Arial" w:hAnsi="Arial"/>
        </w:rPr>
        <w:t xml:space="preserve"> 2023, AMAZONE dévoile le système </w:t>
      </w:r>
      <w:proofErr w:type="spellStart"/>
      <w:r>
        <w:rPr>
          <w:rFonts w:ascii="Arial" w:hAnsi="Arial"/>
        </w:rPr>
        <w:t>FertiSpot</w:t>
      </w:r>
      <w:proofErr w:type="spellEnd"/>
      <w:r>
        <w:rPr>
          <w:rFonts w:ascii="Arial" w:hAnsi="Arial"/>
        </w:rPr>
        <w:t xml:space="preserve"> avec l’option permettant de placer les poquets d'engrais de manière synchronisée avec les graines.</w:t>
      </w:r>
    </w:p>
    <w:p w14:paraId="57620368" w14:textId="77777777" w:rsidR="00496488" w:rsidRPr="00496488" w:rsidRDefault="00496488" w:rsidP="00496488">
      <w:pPr>
        <w:spacing w:after="120" w:line="360" w:lineRule="auto"/>
        <w:ind w:left="567" w:right="1695"/>
        <w:rPr>
          <w:rFonts w:ascii="Arial" w:eastAsia="Arial" w:hAnsi="Arial" w:cs="Arial"/>
        </w:rPr>
      </w:pPr>
    </w:p>
    <w:p w14:paraId="0D172B1D" w14:textId="77777777" w:rsidR="00496488" w:rsidRDefault="00496488" w:rsidP="00496488">
      <w:pPr>
        <w:spacing w:after="120" w:line="360" w:lineRule="auto"/>
        <w:ind w:left="567" w:right="1695"/>
        <w:rPr>
          <w:rFonts w:ascii="Arial" w:eastAsia="Arial" w:hAnsi="Arial" w:cs="Arial"/>
        </w:rPr>
      </w:pPr>
      <w:r>
        <w:rPr>
          <w:rFonts w:ascii="Arial" w:hAnsi="Arial"/>
        </w:rPr>
        <w:t xml:space="preserve">En 2019, AMAZONE présentait le système </w:t>
      </w:r>
      <w:proofErr w:type="spellStart"/>
      <w:r>
        <w:rPr>
          <w:rFonts w:ascii="Arial" w:hAnsi="Arial"/>
        </w:rPr>
        <w:t>FertiSpot</w:t>
      </w:r>
      <w:proofErr w:type="spellEnd"/>
      <w:r>
        <w:rPr>
          <w:rFonts w:ascii="Arial" w:hAnsi="Arial"/>
        </w:rPr>
        <w:t xml:space="preserve"> avec l’implantation de l’engrais en dessous de la semence. Cela permet une assimilation de l'engrais plus efficace, principalement lors des semis de maïs. AMAZONE a continué de développer le système </w:t>
      </w:r>
      <w:proofErr w:type="spellStart"/>
      <w:r>
        <w:rPr>
          <w:rFonts w:ascii="Arial" w:hAnsi="Arial"/>
        </w:rPr>
        <w:t>FertiSpot</w:t>
      </w:r>
      <w:proofErr w:type="spellEnd"/>
      <w:r>
        <w:rPr>
          <w:rFonts w:ascii="Arial" w:hAnsi="Arial"/>
        </w:rPr>
        <w:t xml:space="preserve"> en raison de l'extension du semis de précision sur d'autres cultures. Grâce à ce nouveau concept qui permet de placer le poquet d'engrais de manière synchronisée entre les graines de semence, les quantités d'engrais incorporées sont plus élevées, tout en protégeant les cultures sensibles des risques de brûlure. Les avantages sont évidents surtout pour les cultures de betteraves sucrières. Dans des conditions de sol très sèches, l’application entre les graines de semence présente un avantage pour toutes les cultures. Si l'engrais est placé trop près des graines, ce dernier prive les plantes de l'humidité nécessaire et les semences risquent de se dessécher ou d'être insuffisamment alimentées en eau.</w:t>
      </w:r>
    </w:p>
    <w:p w14:paraId="66641230" w14:textId="77777777" w:rsidR="00496488" w:rsidRPr="00496488" w:rsidRDefault="00496488" w:rsidP="00496488">
      <w:pPr>
        <w:spacing w:after="120" w:line="360" w:lineRule="auto"/>
        <w:ind w:left="567" w:right="1695"/>
        <w:rPr>
          <w:rFonts w:ascii="Arial" w:eastAsia="Arial" w:hAnsi="Arial" w:cs="Arial"/>
        </w:rPr>
      </w:pPr>
    </w:p>
    <w:p w14:paraId="4CDDC130" w14:textId="77777777" w:rsidR="00496488" w:rsidRPr="00496488" w:rsidRDefault="00496488" w:rsidP="00496488">
      <w:pPr>
        <w:spacing w:after="120" w:line="360" w:lineRule="auto"/>
        <w:ind w:left="567" w:right="1695"/>
        <w:rPr>
          <w:rFonts w:ascii="Arial" w:eastAsia="Arial" w:hAnsi="Arial" w:cs="Arial"/>
          <w:b/>
          <w:bCs/>
        </w:rPr>
      </w:pPr>
      <w:r>
        <w:rPr>
          <w:rFonts w:ascii="Arial" w:hAnsi="Arial"/>
          <w:b/>
        </w:rPr>
        <w:t xml:space="preserve">Structure de </w:t>
      </w:r>
      <w:proofErr w:type="spellStart"/>
      <w:r>
        <w:rPr>
          <w:rFonts w:ascii="Arial" w:hAnsi="Arial"/>
          <w:b/>
        </w:rPr>
        <w:t>FertiSpot</w:t>
      </w:r>
      <w:proofErr w:type="spellEnd"/>
      <w:r>
        <w:rPr>
          <w:rFonts w:ascii="Arial" w:hAnsi="Arial"/>
          <w:b/>
        </w:rPr>
        <w:t xml:space="preserve"> avec de l’engrais granulé</w:t>
      </w:r>
    </w:p>
    <w:p w14:paraId="72493D7A" w14:textId="77777777" w:rsidR="00496488" w:rsidRDefault="00496488" w:rsidP="00496488">
      <w:pPr>
        <w:spacing w:after="120" w:line="360" w:lineRule="auto"/>
        <w:ind w:left="567" w:right="1695"/>
        <w:rPr>
          <w:rFonts w:ascii="Arial" w:eastAsia="Arial" w:hAnsi="Arial" w:cs="Arial"/>
        </w:rPr>
      </w:pPr>
      <w:r>
        <w:rPr>
          <w:rFonts w:ascii="Arial" w:hAnsi="Arial"/>
        </w:rPr>
        <w:t xml:space="preserve">Un semoir </w:t>
      </w:r>
      <w:proofErr w:type="spellStart"/>
      <w:r>
        <w:rPr>
          <w:rFonts w:ascii="Arial" w:hAnsi="Arial"/>
        </w:rPr>
        <w:t>monograine</w:t>
      </w:r>
      <w:proofErr w:type="spellEnd"/>
      <w:r>
        <w:rPr>
          <w:rFonts w:ascii="Arial" w:hAnsi="Arial"/>
        </w:rPr>
        <w:t xml:space="preserve"> </w:t>
      </w:r>
      <w:proofErr w:type="spellStart"/>
      <w:r>
        <w:rPr>
          <w:rFonts w:ascii="Arial" w:hAnsi="Arial"/>
        </w:rPr>
        <w:t>Precea</w:t>
      </w:r>
      <w:proofErr w:type="spellEnd"/>
      <w:r>
        <w:rPr>
          <w:rFonts w:ascii="Arial" w:hAnsi="Arial"/>
        </w:rPr>
        <w:t xml:space="preserve"> avec </w:t>
      </w:r>
      <w:proofErr w:type="spellStart"/>
      <w:r>
        <w:rPr>
          <w:rFonts w:ascii="Arial" w:hAnsi="Arial"/>
        </w:rPr>
        <w:t>FertiSpot</w:t>
      </w:r>
      <w:proofErr w:type="spellEnd"/>
      <w:r>
        <w:rPr>
          <w:rFonts w:ascii="Arial" w:hAnsi="Arial"/>
        </w:rPr>
        <w:t xml:space="preserve"> pour l’engrais granulé dispose, comme un semoir </w:t>
      </w:r>
      <w:proofErr w:type="spellStart"/>
      <w:r>
        <w:rPr>
          <w:rFonts w:ascii="Arial" w:hAnsi="Arial"/>
        </w:rPr>
        <w:t>monograine</w:t>
      </w:r>
      <w:proofErr w:type="spellEnd"/>
      <w:r>
        <w:rPr>
          <w:rFonts w:ascii="Arial" w:hAnsi="Arial"/>
        </w:rPr>
        <w:t xml:space="preserve"> classique, d’une trémie d’engrais avec doseur. Le doseur régule le débit souhaité par hectare. Le débit peut aussi être modulé par le biais des cartes de modulation. Associé à une coupure individuelle de </w:t>
      </w:r>
      <w:r>
        <w:rPr>
          <w:rFonts w:ascii="Arial" w:hAnsi="Arial"/>
        </w:rPr>
        <w:lastRenderedPageBreak/>
        <w:t xml:space="preserve">rang, l’incorporation de l'engrais peut être gérée rang par rang grâce à Section Control dans les pointes et dans les fourrières. L’engrais arrive dans le répartiteur </w:t>
      </w:r>
      <w:proofErr w:type="spellStart"/>
      <w:r>
        <w:rPr>
          <w:rFonts w:ascii="Arial" w:hAnsi="Arial"/>
        </w:rPr>
        <w:t>FertiSpot</w:t>
      </w:r>
      <w:proofErr w:type="spellEnd"/>
      <w:r>
        <w:rPr>
          <w:rFonts w:ascii="Arial" w:hAnsi="Arial"/>
        </w:rPr>
        <w:t xml:space="preserve"> depuis le système de dosage. Le flux d'engrais qui entre en continu dans le répartiteur est rassemblé par une ailette à grande vitesse. Ce flux quitte ainsi l’unité sous forme de poquets qui sont ensuite dirigés vers les disques fertiliseur pour la mise en terre. La commande du répartiteur et le disque sélecteur de semence sont synchronisés. La régulation se fait par le biais de la commande ISOBUS du </w:t>
      </w:r>
      <w:proofErr w:type="spellStart"/>
      <w:r>
        <w:rPr>
          <w:rFonts w:ascii="Arial" w:hAnsi="Arial"/>
        </w:rPr>
        <w:t>Precea</w:t>
      </w:r>
      <w:proofErr w:type="spellEnd"/>
      <w:r>
        <w:rPr>
          <w:rFonts w:ascii="Arial" w:hAnsi="Arial"/>
        </w:rPr>
        <w:t xml:space="preserve">. Grâce à l’évolution de </w:t>
      </w:r>
      <w:proofErr w:type="spellStart"/>
      <w:r>
        <w:rPr>
          <w:rFonts w:ascii="Arial" w:hAnsi="Arial"/>
        </w:rPr>
        <w:t>FertiSpot</w:t>
      </w:r>
      <w:proofErr w:type="spellEnd"/>
      <w:r>
        <w:rPr>
          <w:rFonts w:ascii="Arial" w:hAnsi="Arial"/>
        </w:rPr>
        <w:t xml:space="preserve">, l’engrais est implanté sous forme de poquets directement sous la plante, mais aussi entre les graines de semences. La commande ISOBUS permet au chauffeur du tracteur de saisir l’emplacement précis de l’implantation. Avec le nouveau système de dosage </w:t>
      </w:r>
      <w:proofErr w:type="spellStart"/>
      <w:r>
        <w:rPr>
          <w:rFonts w:ascii="Arial" w:hAnsi="Arial"/>
        </w:rPr>
        <w:t>FertiSpot</w:t>
      </w:r>
      <w:proofErr w:type="spellEnd"/>
      <w:r>
        <w:rPr>
          <w:rFonts w:ascii="Arial" w:hAnsi="Arial"/>
        </w:rPr>
        <w:t xml:space="preserve">, l’implantation d’engrais peut être déplacée. Le chauffeur du tracteur saisit sur la commande ISOBUS l’emplacement précis de l’engrais soit sous la graine soit entre deux graines par exemple. </w:t>
      </w:r>
      <w:proofErr w:type="spellStart"/>
      <w:r>
        <w:rPr>
          <w:rFonts w:ascii="Arial" w:hAnsi="Arial"/>
        </w:rPr>
        <w:t>FertiSpot</w:t>
      </w:r>
      <w:proofErr w:type="spellEnd"/>
      <w:r>
        <w:rPr>
          <w:rFonts w:ascii="Arial" w:hAnsi="Arial"/>
        </w:rPr>
        <w:t xml:space="preserve"> peut aussi réaliser une application en bandes. Selon la machine concernée, une dose maximale de 250 kg d'engrais par hectare est possible, indépendamment du type d'engrais.</w:t>
      </w:r>
    </w:p>
    <w:p w14:paraId="1F0014EA" w14:textId="77777777" w:rsidR="00496488" w:rsidRPr="00496488" w:rsidRDefault="00496488" w:rsidP="00496488">
      <w:pPr>
        <w:spacing w:after="120" w:line="360" w:lineRule="auto"/>
        <w:ind w:left="567" w:right="1695"/>
        <w:rPr>
          <w:rFonts w:ascii="Arial" w:eastAsia="Arial" w:hAnsi="Arial" w:cs="Arial"/>
        </w:rPr>
      </w:pPr>
    </w:p>
    <w:p w14:paraId="7EC878DD" w14:textId="77777777" w:rsidR="00496488" w:rsidRPr="00496488" w:rsidRDefault="00496488" w:rsidP="00496488">
      <w:pPr>
        <w:spacing w:after="120" w:line="360" w:lineRule="auto"/>
        <w:ind w:left="567" w:right="1695"/>
        <w:rPr>
          <w:rFonts w:ascii="Arial" w:eastAsia="Arial" w:hAnsi="Arial" w:cs="Arial"/>
          <w:b/>
          <w:bCs/>
        </w:rPr>
      </w:pPr>
      <w:r>
        <w:rPr>
          <w:rFonts w:ascii="Arial" w:hAnsi="Arial"/>
          <w:b/>
        </w:rPr>
        <w:t>Meilleure assimilation de l’engrais par la plante</w:t>
      </w:r>
    </w:p>
    <w:p w14:paraId="6BD1A6C0" w14:textId="77777777" w:rsidR="00496488" w:rsidRDefault="00496488" w:rsidP="00496488">
      <w:pPr>
        <w:spacing w:after="120" w:line="360" w:lineRule="auto"/>
        <w:ind w:left="567" w:right="1695"/>
        <w:rPr>
          <w:rFonts w:ascii="Arial" w:eastAsia="Arial" w:hAnsi="Arial" w:cs="Arial"/>
        </w:rPr>
      </w:pPr>
      <w:r>
        <w:rPr>
          <w:rFonts w:ascii="Arial" w:hAnsi="Arial"/>
        </w:rPr>
        <w:t>Le positionnement précis de l'engrais au niveau de la semence favorise une bien meilleure utilisation des éléments nutritifs, car ils sont davantage à disposition de la plantule. Une application ciblée permet d’augmenter la disponibilité de l’engrais pour les plantes tout en réduisant la quantité d’engrais par hectare. Ainsi les études de l’Université des Sciences appliquées de Cologne prévoient des économies d'engrais de 25 % pour le même niveau de rendement.</w:t>
      </w:r>
    </w:p>
    <w:p w14:paraId="686A606B" w14:textId="77777777" w:rsidR="00496488" w:rsidRPr="00496488" w:rsidRDefault="00496488" w:rsidP="00496488">
      <w:pPr>
        <w:spacing w:after="120" w:line="360" w:lineRule="auto"/>
        <w:ind w:left="567" w:right="1695"/>
        <w:rPr>
          <w:rFonts w:ascii="Arial" w:eastAsia="Arial" w:hAnsi="Arial" w:cs="Arial"/>
        </w:rPr>
      </w:pPr>
    </w:p>
    <w:p w14:paraId="64F70650" w14:textId="77777777" w:rsidR="00496488" w:rsidRDefault="00496488" w:rsidP="00496488">
      <w:pPr>
        <w:spacing w:after="120" w:line="360" w:lineRule="auto"/>
        <w:ind w:left="567" w:right="1695"/>
        <w:rPr>
          <w:rFonts w:ascii="Arial" w:eastAsia="Arial" w:hAnsi="Arial" w:cs="Arial"/>
        </w:rPr>
      </w:pPr>
      <w:r>
        <w:rPr>
          <w:rFonts w:ascii="Arial" w:hAnsi="Arial"/>
        </w:rPr>
        <w:t xml:space="preserve">Outre les effets positifs pour la protection de l’environnement, il en résulte des avantages en termes de gestion d'entreprise et de travail. Au-delà des économies financières réalisées par la réduction des quantités d'engrais incorporées par hectare, des économies supplémentaires sont réalisées grâce </w:t>
      </w:r>
      <w:r>
        <w:rPr>
          <w:rFonts w:ascii="Arial" w:hAnsi="Arial"/>
        </w:rPr>
        <w:lastRenderedPageBreak/>
        <w:t>à un débit de chantier plus élevé lors du semis du fait d’une réduction de 25 % des temps de remplissage. En zone d’élevage, l'économie d'engrais minéral permet une meilleure utilisation des engrais organiques produits au sein de l'exploitation.</w:t>
      </w:r>
    </w:p>
    <w:p w14:paraId="65A56E9C" w14:textId="77777777" w:rsidR="00496488" w:rsidRPr="00496488" w:rsidRDefault="00496488" w:rsidP="00496488">
      <w:pPr>
        <w:spacing w:after="120" w:line="360" w:lineRule="auto"/>
        <w:ind w:left="567" w:right="1695"/>
        <w:rPr>
          <w:rFonts w:ascii="Arial" w:eastAsia="Arial" w:hAnsi="Arial" w:cs="Arial"/>
        </w:rPr>
      </w:pPr>
    </w:p>
    <w:p w14:paraId="73BA20EC" w14:textId="77777777" w:rsidR="00496488" w:rsidRDefault="00496488" w:rsidP="00496488">
      <w:pPr>
        <w:spacing w:after="120" w:line="360" w:lineRule="auto"/>
        <w:ind w:left="567" w:right="1695"/>
        <w:rPr>
          <w:rFonts w:ascii="Arial" w:eastAsia="Arial" w:hAnsi="Arial" w:cs="Arial"/>
        </w:rPr>
      </w:pPr>
      <w:r>
        <w:rPr>
          <w:rFonts w:ascii="Arial" w:hAnsi="Arial"/>
        </w:rPr>
        <w:t>L'importante économie d'engrais n'apporte pas seulement une valeur ajoutée considérable à l'agriculteur, les entrepreneurs économisent également du temps et de l'argent, car ils génèrent des débits de chantier plus élevés grâce à la réduction des temps d'arrêt pour le remplissage d'engrais. L'environnement est également préservé.</w:t>
      </w:r>
    </w:p>
    <w:p w14:paraId="5F6B704E" w14:textId="77777777" w:rsidR="00496488" w:rsidRPr="00496488" w:rsidRDefault="00496488" w:rsidP="00496488">
      <w:pPr>
        <w:spacing w:after="120" w:line="360" w:lineRule="auto"/>
        <w:ind w:left="567" w:right="1695"/>
        <w:rPr>
          <w:rFonts w:ascii="Arial" w:eastAsia="Arial" w:hAnsi="Arial" w:cs="Arial"/>
        </w:rPr>
      </w:pPr>
    </w:p>
    <w:p w14:paraId="1C6ACD29" w14:textId="468DF339" w:rsidR="00161FDD" w:rsidRDefault="00496488" w:rsidP="00496488">
      <w:pPr>
        <w:spacing w:after="120" w:line="360" w:lineRule="auto"/>
        <w:ind w:left="567" w:right="1695"/>
        <w:rPr>
          <w:rFonts w:ascii="Arial" w:eastAsia="Arial" w:hAnsi="Arial" w:cs="Arial"/>
        </w:rPr>
      </w:pPr>
      <w:r>
        <w:rPr>
          <w:rFonts w:ascii="Arial" w:hAnsi="Arial"/>
        </w:rPr>
        <w:t xml:space="preserve">Le nouveau système </w:t>
      </w:r>
      <w:proofErr w:type="spellStart"/>
      <w:r>
        <w:rPr>
          <w:rFonts w:ascii="Arial" w:hAnsi="Arial"/>
        </w:rPr>
        <w:t>FertiSpot</w:t>
      </w:r>
      <w:proofErr w:type="spellEnd"/>
      <w:r>
        <w:rPr>
          <w:rFonts w:ascii="Arial" w:hAnsi="Arial"/>
        </w:rPr>
        <w:t xml:space="preserve"> peut être utilisé dans diverses cultures. Grâce à l’application variable entre les graines, l’engrais est aussi implanté sous forme de poquets, même pour les cultures sensibles. Les cultures, telles que le colza ou les betteraves sucrières, sensibles vis-à-vis de l’engrais, sont ainsi alimentées de manière optimale avec une quantité réduite d'engrais.</w:t>
      </w:r>
    </w:p>
    <w:p w14:paraId="055346D6" w14:textId="77777777" w:rsidR="009477A9" w:rsidRDefault="009477A9" w:rsidP="00161FDD">
      <w:pPr>
        <w:spacing w:after="120" w:line="360" w:lineRule="auto"/>
        <w:ind w:left="567" w:right="1695"/>
        <w:rPr>
          <w:rFonts w:ascii="Arial" w:eastAsia="Arial" w:hAnsi="Arial" w:cs="Arial"/>
        </w:rPr>
      </w:pPr>
    </w:p>
    <w:p w14:paraId="6855F60C" w14:textId="77777777" w:rsidR="00496488" w:rsidRDefault="00496488"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1EA33BFC" w14:textId="70F0AD98" w:rsidR="00496488" w:rsidRPr="009B1704" w:rsidRDefault="00496488" w:rsidP="009B1704">
      <w:pPr>
        <w:pStyle w:val="Listenabsatz"/>
        <w:numPr>
          <w:ilvl w:val="0"/>
          <w:numId w:val="17"/>
        </w:numPr>
        <w:spacing w:after="120" w:line="360" w:lineRule="auto"/>
        <w:ind w:right="1695"/>
        <w:rPr>
          <w:rFonts w:ascii="Arial" w:eastAsia="Arial" w:hAnsi="Arial" w:cs="Arial"/>
        </w:rPr>
      </w:pPr>
      <w:proofErr w:type="spellStart"/>
      <w:r>
        <w:rPr>
          <w:rFonts w:ascii="Arial" w:hAnsi="Arial"/>
        </w:rPr>
        <w:t>FertiSpot</w:t>
      </w:r>
      <w:proofErr w:type="spellEnd"/>
      <w:r>
        <w:rPr>
          <w:rFonts w:ascii="Arial" w:hAnsi="Arial"/>
        </w:rPr>
        <w:t xml:space="preserve"> permet une nette réduction du volume d’engrais et participe à la protection de l’environnement</w:t>
      </w:r>
    </w:p>
    <w:p w14:paraId="7740E68B" w14:textId="36469809" w:rsidR="00496488" w:rsidRPr="009B1704" w:rsidRDefault="00496488" w:rsidP="009B1704">
      <w:pPr>
        <w:pStyle w:val="Listenabsatz"/>
        <w:numPr>
          <w:ilvl w:val="0"/>
          <w:numId w:val="17"/>
        </w:numPr>
        <w:spacing w:after="120" w:line="360" w:lineRule="auto"/>
        <w:ind w:right="1695"/>
        <w:rPr>
          <w:rFonts w:ascii="Arial" w:eastAsia="Arial" w:hAnsi="Arial" w:cs="Arial"/>
        </w:rPr>
      </w:pPr>
      <w:r>
        <w:rPr>
          <w:rFonts w:ascii="Arial" w:hAnsi="Arial"/>
        </w:rPr>
        <w:t>Avantages de la réduction de la quantité d'engrais :</w:t>
      </w:r>
    </w:p>
    <w:p w14:paraId="0FD964F3" w14:textId="547AD6BB" w:rsidR="00496488" w:rsidRPr="009B1704" w:rsidRDefault="00496488" w:rsidP="009B1704">
      <w:pPr>
        <w:pStyle w:val="Listenabsatz"/>
        <w:numPr>
          <w:ilvl w:val="1"/>
          <w:numId w:val="18"/>
        </w:numPr>
        <w:spacing w:after="120" w:line="360" w:lineRule="auto"/>
        <w:ind w:right="1695"/>
        <w:rPr>
          <w:rFonts w:ascii="Arial" w:eastAsia="Arial" w:hAnsi="Arial" w:cs="Arial"/>
        </w:rPr>
      </w:pPr>
      <w:r>
        <w:rPr>
          <w:rFonts w:ascii="Arial" w:hAnsi="Arial"/>
        </w:rPr>
        <w:t>Agriculteur : réduction des coûts d'engrais</w:t>
      </w:r>
    </w:p>
    <w:p w14:paraId="1F8FF45A" w14:textId="1D7B5311" w:rsidR="00161FDD" w:rsidRPr="009B1704" w:rsidRDefault="00496488" w:rsidP="009B1704">
      <w:pPr>
        <w:pStyle w:val="Listenabsatz"/>
        <w:numPr>
          <w:ilvl w:val="1"/>
          <w:numId w:val="18"/>
        </w:numPr>
        <w:spacing w:after="120" w:line="360" w:lineRule="auto"/>
        <w:ind w:right="1695"/>
        <w:rPr>
          <w:rFonts w:ascii="Arial" w:eastAsia="Arial" w:hAnsi="Arial" w:cs="Arial"/>
          <w:noProof/>
        </w:rPr>
      </w:pPr>
      <w:r>
        <w:rPr>
          <w:rFonts w:ascii="Arial" w:hAnsi="Arial"/>
        </w:rPr>
        <w:t>Entrepreneur : débits de chantier supérieurs grâce à des temps de préparation réduits</w:t>
      </w:r>
    </w:p>
    <w:p w14:paraId="33A19A94" w14:textId="77777777" w:rsidR="00C46CAE" w:rsidRDefault="00C46CAE" w:rsidP="00161FDD">
      <w:pPr>
        <w:spacing w:after="120" w:line="360" w:lineRule="auto"/>
        <w:ind w:left="567" w:right="1695"/>
        <w:rPr>
          <w:rFonts w:ascii="Arial" w:eastAsia="Arial" w:hAnsi="Arial" w:cs="Arial"/>
          <w:noProof/>
        </w:rPr>
      </w:pPr>
    </w:p>
    <w:p w14:paraId="7C5B29AD" w14:textId="77777777" w:rsidR="00161FDD" w:rsidRDefault="00161FDD" w:rsidP="00161FDD">
      <w:pPr>
        <w:spacing w:after="120" w:line="360" w:lineRule="auto"/>
        <w:ind w:left="567" w:right="1695"/>
        <w:rPr>
          <w:rFonts w:ascii="Arial" w:eastAsia="Arial" w:hAnsi="Arial" w:cs="Arial"/>
        </w:rPr>
      </w:pPr>
    </w:p>
    <w:p w14:paraId="0BB2E8B6" w14:textId="0D34D093" w:rsidR="00496488" w:rsidRDefault="00504DEE"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E323F44" wp14:editId="593A66A8">
            <wp:extent cx="3477600" cy="2880000"/>
            <wp:effectExtent l="0" t="0" r="2540" b="3175"/>
            <wp:docPr id="157359565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595657" name="Grafik 1573595657"/>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48E7D047" w14:textId="383E6543" w:rsidR="00504DEE" w:rsidRPr="00504DEE" w:rsidRDefault="00504DEE" w:rsidP="00504DEE">
      <w:pPr>
        <w:spacing w:after="120" w:line="360" w:lineRule="auto"/>
        <w:ind w:left="567" w:right="1695"/>
        <w:rPr>
          <w:rFonts w:ascii="Arial" w:eastAsia="Arial" w:hAnsi="Arial" w:cs="Arial"/>
        </w:rPr>
      </w:pPr>
      <w:proofErr w:type="spellStart"/>
      <w:r>
        <w:rPr>
          <w:rFonts w:ascii="Arial" w:hAnsi="Arial"/>
        </w:rPr>
        <w:t>Precea</w:t>
      </w:r>
      <w:proofErr w:type="spellEnd"/>
      <w:r>
        <w:rPr>
          <w:rFonts w:ascii="Arial" w:hAnsi="Arial"/>
        </w:rPr>
        <w:t xml:space="preserve"> 6000-2FCC avec l’unité de dosage </w:t>
      </w:r>
      <w:proofErr w:type="spellStart"/>
      <w:r>
        <w:rPr>
          <w:rFonts w:ascii="Arial" w:hAnsi="Arial"/>
        </w:rPr>
        <w:t>FertiSpot</w:t>
      </w:r>
      <w:proofErr w:type="spellEnd"/>
      <w:r>
        <w:rPr>
          <w:rFonts w:ascii="Arial" w:hAnsi="Arial"/>
        </w:rPr>
        <w:t xml:space="preserve"> pour une distribution de l’engrais en poquets. Depuis la trémie frontale </w:t>
      </w:r>
      <w:proofErr w:type="spellStart"/>
      <w:r>
        <w:rPr>
          <w:rFonts w:ascii="Arial" w:hAnsi="Arial"/>
        </w:rPr>
        <w:t>FTender</w:t>
      </w:r>
      <w:proofErr w:type="spellEnd"/>
      <w:r>
        <w:rPr>
          <w:rFonts w:ascii="Arial" w:hAnsi="Arial"/>
        </w:rPr>
        <w:t xml:space="preserve"> 2200, l’engrais arrive via le convoyeur, à l’arrière de la machine où il est divisé en poquets.</w:t>
      </w:r>
    </w:p>
    <w:p w14:paraId="66445704" w14:textId="77777777" w:rsidR="00504DEE" w:rsidRDefault="00504DEE" w:rsidP="00161FDD">
      <w:pPr>
        <w:spacing w:after="120" w:line="360" w:lineRule="auto"/>
        <w:ind w:left="567" w:right="1695"/>
        <w:rPr>
          <w:rFonts w:ascii="Arial" w:eastAsia="Arial" w:hAnsi="Arial" w:cs="Arial"/>
        </w:rPr>
      </w:pPr>
    </w:p>
    <w:p w14:paraId="6E436670" w14:textId="3BDF1556" w:rsidR="00504DEE" w:rsidRDefault="00504DEE" w:rsidP="00161FDD">
      <w:pPr>
        <w:spacing w:after="120" w:line="360" w:lineRule="auto"/>
        <w:ind w:left="567" w:right="1695"/>
        <w:rPr>
          <w:rFonts w:ascii="Arial" w:eastAsia="Arial" w:hAnsi="Arial" w:cs="Arial"/>
        </w:rPr>
      </w:pPr>
      <w:r>
        <w:rPr>
          <w:rFonts w:ascii="Arial" w:hAnsi="Arial"/>
          <w:noProof/>
        </w:rPr>
        <w:drawing>
          <wp:inline distT="0" distB="0" distL="0" distR="0" wp14:anchorId="78424DF8" wp14:editId="5527216E">
            <wp:extent cx="1684800" cy="2880000"/>
            <wp:effectExtent l="0" t="0" r="4445" b="3175"/>
            <wp:docPr id="184406830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068303" name="Grafik 184406830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684800" cy="2880000"/>
                    </a:xfrm>
                    <a:prstGeom prst="rect">
                      <a:avLst/>
                    </a:prstGeom>
                  </pic:spPr>
                </pic:pic>
              </a:graphicData>
            </a:graphic>
          </wp:inline>
        </w:drawing>
      </w:r>
    </w:p>
    <w:p w14:paraId="3E2B4621" w14:textId="77777777" w:rsidR="00504DEE" w:rsidRPr="00504DEE" w:rsidRDefault="00504DEE" w:rsidP="00504DEE">
      <w:pPr>
        <w:spacing w:after="120" w:line="360" w:lineRule="auto"/>
        <w:ind w:left="567" w:right="1695"/>
        <w:rPr>
          <w:rFonts w:ascii="Arial" w:eastAsia="Arial" w:hAnsi="Arial" w:cs="Arial"/>
          <w:b/>
          <w:bCs/>
        </w:rPr>
      </w:pPr>
      <w:r>
        <w:rPr>
          <w:rFonts w:ascii="Arial" w:hAnsi="Arial"/>
          <w:b/>
        </w:rPr>
        <w:t xml:space="preserve">Structure du système </w:t>
      </w:r>
      <w:proofErr w:type="spellStart"/>
      <w:r>
        <w:rPr>
          <w:rFonts w:ascii="Arial" w:hAnsi="Arial"/>
          <w:b/>
        </w:rPr>
        <w:t>FertiSpot</w:t>
      </w:r>
      <w:proofErr w:type="spellEnd"/>
      <w:r>
        <w:rPr>
          <w:rFonts w:ascii="Arial" w:hAnsi="Arial"/>
          <w:b/>
        </w:rPr>
        <w:t xml:space="preserve"> – Global</w:t>
      </w:r>
    </w:p>
    <w:p w14:paraId="1D2E4405" w14:textId="043BAA15" w:rsidR="00504DEE" w:rsidRPr="00504DEE" w:rsidRDefault="00504DEE" w:rsidP="00504DEE">
      <w:pPr>
        <w:pStyle w:val="Listenabsatz"/>
        <w:numPr>
          <w:ilvl w:val="0"/>
          <w:numId w:val="14"/>
        </w:numPr>
        <w:spacing w:after="120" w:line="360" w:lineRule="auto"/>
        <w:ind w:right="1695"/>
        <w:rPr>
          <w:rFonts w:ascii="Arial" w:eastAsia="Arial" w:hAnsi="Arial" w:cs="Arial"/>
        </w:rPr>
      </w:pPr>
      <w:r>
        <w:rPr>
          <w:rFonts w:ascii="Arial" w:hAnsi="Arial"/>
          <w:b/>
        </w:rPr>
        <w:t xml:space="preserve">Trémie d'engrais : </w:t>
      </w:r>
      <w:r>
        <w:rPr>
          <w:rFonts w:ascii="Arial" w:hAnsi="Arial"/>
        </w:rPr>
        <w:t>Implantation localisée de l'engrais</w:t>
      </w:r>
    </w:p>
    <w:p w14:paraId="12F43A1A" w14:textId="7FF8969B" w:rsidR="00504DEE" w:rsidRPr="00504DEE" w:rsidRDefault="00504DEE" w:rsidP="00504DEE">
      <w:pPr>
        <w:pStyle w:val="Listenabsatz"/>
        <w:numPr>
          <w:ilvl w:val="0"/>
          <w:numId w:val="14"/>
        </w:numPr>
        <w:spacing w:after="120" w:line="360" w:lineRule="auto"/>
        <w:ind w:right="1695"/>
        <w:rPr>
          <w:rFonts w:ascii="Arial" w:eastAsia="Arial" w:hAnsi="Arial" w:cs="Arial"/>
        </w:rPr>
      </w:pPr>
      <w:r>
        <w:rPr>
          <w:rFonts w:ascii="Arial" w:hAnsi="Arial"/>
          <w:b/>
        </w:rPr>
        <w:t>Doseur :</w:t>
      </w:r>
      <w:r>
        <w:rPr>
          <w:rFonts w:ascii="Arial" w:hAnsi="Arial"/>
        </w:rPr>
        <w:t xml:space="preserve"> Dosage de l’engrais</w:t>
      </w:r>
    </w:p>
    <w:p w14:paraId="3E65B975" w14:textId="7EB6B43D" w:rsidR="00504DEE" w:rsidRPr="00504DEE" w:rsidRDefault="00504DEE" w:rsidP="00504DEE">
      <w:pPr>
        <w:pStyle w:val="Listenabsatz"/>
        <w:numPr>
          <w:ilvl w:val="0"/>
          <w:numId w:val="14"/>
        </w:numPr>
        <w:spacing w:after="120" w:line="360" w:lineRule="auto"/>
        <w:ind w:right="1695"/>
        <w:rPr>
          <w:rFonts w:ascii="Arial" w:eastAsia="Arial" w:hAnsi="Arial" w:cs="Arial"/>
        </w:rPr>
      </w:pPr>
      <w:r>
        <w:rPr>
          <w:rFonts w:ascii="Arial" w:hAnsi="Arial"/>
          <w:b/>
        </w:rPr>
        <w:t>Répartiteur :</w:t>
      </w:r>
      <w:r>
        <w:rPr>
          <w:rFonts w:ascii="Arial" w:hAnsi="Arial"/>
        </w:rPr>
        <w:t xml:space="preserve"> Répartition des poquets d’engrais</w:t>
      </w:r>
    </w:p>
    <w:p w14:paraId="63CF0FF3" w14:textId="422D72C9" w:rsidR="00504DEE" w:rsidRPr="00504DEE" w:rsidRDefault="00504DEE" w:rsidP="00504DEE">
      <w:pPr>
        <w:pStyle w:val="Listenabsatz"/>
        <w:numPr>
          <w:ilvl w:val="0"/>
          <w:numId w:val="14"/>
        </w:numPr>
        <w:spacing w:after="120" w:line="360" w:lineRule="auto"/>
        <w:ind w:right="1695"/>
        <w:rPr>
          <w:rFonts w:ascii="Arial" w:eastAsia="Arial" w:hAnsi="Arial" w:cs="Arial"/>
        </w:rPr>
      </w:pPr>
      <w:r>
        <w:rPr>
          <w:rFonts w:ascii="Arial" w:hAnsi="Arial"/>
          <w:b/>
        </w:rPr>
        <w:t>Disque fertiliseur :</w:t>
      </w:r>
      <w:r>
        <w:rPr>
          <w:rFonts w:ascii="Arial" w:hAnsi="Arial"/>
        </w:rPr>
        <w:t xml:space="preserve"> Incorporation dans le sol</w:t>
      </w:r>
    </w:p>
    <w:p w14:paraId="3CFBFA4C" w14:textId="1CC0B06A" w:rsidR="00504DEE" w:rsidRDefault="00504DEE"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73C8D41" wp14:editId="0AF0DBA6">
            <wp:extent cx="5155200" cy="2880000"/>
            <wp:effectExtent l="0" t="0" r="1270" b="3175"/>
            <wp:docPr id="169854497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544977" name="Grafik 169854497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155200" cy="2880000"/>
                    </a:xfrm>
                    <a:prstGeom prst="rect">
                      <a:avLst/>
                    </a:prstGeom>
                  </pic:spPr>
                </pic:pic>
              </a:graphicData>
            </a:graphic>
          </wp:inline>
        </w:drawing>
      </w:r>
    </w:p>
    <w:p w14:paraId="069791AC" w14:textId="77777777" w:rsidR="00504DEE" w:rsidRPr="00504DEE" w:rsidRDefault="00504DEE" w:rsidP="00504DEE">
      <w:pPr>
        <w:spacing w:after="120" w:line="360" w:lineRule="auto"/>
        <w:ind w:left="567" w:right="1695"/>
        <w:rPr>
          <w:rFonts w:ascii="Arial" w:eastAsia="Arial" w:hAnsi="Arial" w:cs="Arial"/>
        </w:rPr>
      </w:pPr>
      <w:proofErr w:type="spellStart"/>
      <w:r>
        <w:rPr>
          <w:rFonts w:ascii="Arial" w:hAnsi="Arial"/>
        </w:rPr>
        <w:t>FertiSpot</w:t>
      </w:r>
      <w:proofErr w:type="spellEnd"/>
      <w:r>
        <w:rPr>
          <w:rFonts w:ascii="Arial" w:hAnsi="Arial"/>
        </w:rPr>
        <w:t xml:space="preserve"> l’engrais sous la graine</w:t>
      </w:r>
    </w:p>
    <w:p w14:paraId="19BBE4B8" w14:textId="77777777" w:rsidR="00504DEE" w:rsidRDefault="00504DEE" w:rsidP="00161FDD">
      <w:pPr>
        <w:spacing w:after="120" w:line="360" w:lineRule="auto"/>
        <w:ind w:left="567" w:right="1695"/>
        <w:rPr>
          <w:rFonts w:ascii="Arial" w:eastAsia="Arial" w:hAnsi="Arial" w:cs="Arial"/>
        </w:rPr>
      </w:pPr>
    </w:p>
    <w:p w14:paraId="1E6FF19A" w14:textId="77777777" w:rsidR="00504DEE" w:rsidRDefault="00504DEE" w:rsidP="00161FDD">
      <w:pPr>
        <w:spacing w:after="120" w:line="360" w:lineRule="auto"/>
        <w:ind w:left="567" w:right="1695"/>
        <w:rPr>
          <w:rFonts w:ascii="Arial" w:eastAsia="Arial" w:hAnsi="Arial" w:cs="Arial"/>
        </w:rPr>
      </w:pPr>
    </w:p>
    <w:p w14:paraId="209CE33A" w14:textId="0A46D2C7" w:rsidR="00504DEE" w:rsidRDefault="00504DEE" w:rsidP="00161FDD">
      <w:pPr>
        <w:spacing w:after="120" w:line="360" w:lineRule="auto"/>
        <w:ind w:left="567" w:right="1695"/>
        <w:rPr>
          <w:rFonts w:ascii="Arial" w:eastAsia="Arial" w:hAnsi="Arial" w:cs="Arial"/>
        </w:rPr>
      </w:pPr>
      <w:r>
        <w:rPr>
          <w:rFonts w:ascii="Arial" w:hAnsi="Arial"/>
          <w:noProof/>
        </w:rPr>
        <w:drawing>
          <wp:inline distT="0" distB="0" distL="0" distR="0" wp14:anchorId="5A10C8E0" wp14:editId="4ABB3519">
            <wp:extent cx="5187600" cy="2880000"/>
            <wp:effectExtent l="0" t="0" r="0" b="3175"/>
            <wp:docPr id="1647065159"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065159" name="Grafik 164706515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187600" cy="2880000"/>
                    </a:xfrm>
                    <a:prstGeom prst="rect">
                      <a:avLst/>
                    </a:prstGeom>
                  </pic:spPr>
                </pic:pic>
              </a:graphicData>
            </a:graphic>
          </wp:inline>
        </w:drawing>
      </w:r>
    </w:p>
    <w:p w14:paraId="634CDEA3" w14:textId="77777777" w:rsidR="00504DEE" w:rsidRPr="00504DEE" w:rsidRDefault="00504DEE" w:rsidP="00504DEE">
      <w:pPr>
        <w:spacing w:after="120" w:line="360" w:lineRule="auto"/>
        <w:ind w:left="567" w:right="1695"/>
        <w:rPr>
          <w:rFonts w:ascii="Arial" w:eastAsia="Arial" w:hAnsi="Arial" w:cs="Arial"/>
        </w:rPr>
      </w:pPr>
      <w:proofErr w:type="spellStart"/>
      <w:r>
        <w:rPr>
          <w:rFonts w:ascii="Arial" w:hAnsi="Arial"/>
        </w:rPr>
        <w:t>FertiSpot</w:t>
      </w:r>
      <w:proofErr w:type="spellEnd"/>
      <w:r>
        <w:rPr>
          <w:rFonts w:ascii="Arial" w:hAnsi="Arial"/>
        </w:rPr>
        <w:t xml:space="preserve"> l’engrais entre les graines</w:t>
      </w:r>
    </w:p>
    <w:p w14:paraId="7C5A1D8D" w14:textId="77777777" w:rsidR="00504DEE" w:rsidRDefault="00504DEE" w:rsidP="00161FDD">
      <w:pPr>
        <w:spacing w:after="120" w:line="360" w:lineRule="auto"/>
        <w:ind w:left="567" w:right="1695"/>
        <w:rPr>
          <w:rFonts w:ascii="Arial" w:eastAsia="Arial" w:hAnsi="Arial" w:cs="Arial"/>
        </w:rPr>
      </w:pPr>
    </w:p>
    <w:p w14:paraId="4C1B7682" w14:textId="77777777" w:rsidR="00504DEE" w:rsidRDefault="00504DEE" w:rsidP="00161FDD">
      <w:pPr>
        <w:spacing w:after="120" w:line="360" w:lineRule="auto"/>
        <w:ind w:left="567" w:right="1695"/>
        <w:rPr>
          <w:rFonts w:ascii="Arial" w:eastAsia="Arial" w:hAnsi="Arial" w:cs="Arial"/>
        </w:rPr>
      </w:pPr>
    </w:p>
    <w:p w14:paraId="538FEB0E" w14:textId="77777777" w:rsidR="00504DEE" w:rsidRDefault="00504DEE" w:rsidP="00161FDD">
      <w:pPr>
        <w:spacing w:after="120" w:line="360" w:lineRule="auto"/>
        <w:ind w:left="567" w:right="1695"/>
        <w:rPr>
          <w:rFonts w:ascii="Arial" w:eastAsia="Arial" w:hAnsi="Arial" w:cs="Arial"/>
        </w:rPr>
      </w:pPr>
    </w:p>
    <w:p w14:paraId="59DD7933" w14:textId="3E5B86BB" w:rsidR="00504DEE" w:rsidRDefault="00E52E6A" w:rsidP="00161FD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584C7B90" wp14:editId="2328AC03">
            <wp:extent cx="5047200" cy="2880000"/>
            <wp:effectExtent l="0" t="0" r="0" b="3175"/>
            <wp:docPr id="205409716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097165" name="Grafik 205409716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047200" cy="2880000"/>
                    </a:xfrm>
                    <a:prstGeom prst="rect">
                      <a:avLst/>
                    </a:prstGeom>
                  </pic:spPr>
                </pic:pic>
              </a:graphicData>
            </a:graphic>
          </wp:inline>
        </w:drawing>
      </w:r>
    </w:p>
    <w:p w14:paraId="5DD5DCF9" w14:textId="77777777" w:rsidR="00504DEE" w:rsidRPr="00504DEE" w:rsidRDefault="00504DEE" w:rsidP="00504DEE">
      <w:pPr>
        <w:spacing w:after="120" w:line="360" w:lineRule="auto"/>
        <w:ind w:left="567" w:right="1695"/>
        <w:rPr>
          <w:rFonts w:ascii="Arial" w:eastAsia="Arial" w:hAnsi="Arial" w:cs="Arial"/>
          <w:b/>
          <w:bCs/>
        </w:rPr>
      </w:pPr>
      <w:r>
        <w:rPr>
          <w:rFonts w:ascii="Arial" w:hAnsi="Arial"/>
          <w:b/>
        </w:rPr>
        <w:t xml:space="preserve">Répartiteur </w:t>
      </w:r>
      <w:proofErr w:type="spellStart"/>
      <w:r>
        <w:rPr>
          <w:rFonts w:ascii="Arial" w:hAnsi="Arial"/>
          <w:b/>
        </w:rPr>
        <w:t>FertiSpot</w:t>
      </w:r>
      <w:proofErr w:type="spellEnd"/>
      <w:r>
        <w:rPr>
          <w:rFonts w:ascii="Arial" w:hAnsi="Arial"/>
          <w:b/>
        </w:rPr>
        <w:t> – Détails</w:t>
      </w:r>
    </w:p>
    <w:p w14:paraId="7212FFD4" w14:textId="23B23163" w:rsidR="00504DEE" w:rsidRPr="00504DEE" w:rsidRDefault="00504DEE" w:rsidP="00504DEE">
      <w:pPr>
        <w:pStyle w:val="Listenabsatz"/>
        <w:numPr>
          <w:ilvl w:val="0"/>
          <w:numId w:val="15"/>
        </w:numPr>
        <w:spacing w:after="120" w:line="360" w:lineRule="auto"/>
        <w:ind w:right="1695"/>
        <w:rPr>
          <w:rFonts w:ascii="Arial" w:eastAsia="Arial" w:hAnsi="Arial" w:cs="Arial"/>
        </w:rPr>
      </w:pPr>
      <w:r>
        <w:rPr>
          <w:rFonts w:ascii="Arial" w:hAnsi="Arial"/>
        </w:rPr>
        <w:t>L’engrais entre en continu depuis le haut dans le répartiteur. Le tuyau d’arrivée est relié directement au système de dosage.</w:t>
      </w:r>
    </w:p>
    <w:p w14:paraId="5DED69B7" w14:textId="704BC6BA" w:rsidR="00504DEE" w:rsidRPr="00504DEE" w:rsidRDefault="00504DEE" w:rsidP="00504DEE">
      <w:pPr>
        <w:pStyle w:val="Listenabsatz"/>
        <w:numPr>
          <w:ilvl w:val="0"/>
          <w:numId w:val="15"/>
        </w:numPr>
        <w:spacing w:after="120" w:line="360" w:lineRule="auto"/>
        <w:ind w:right="1695"/>
        <w:rPr>
          <w:rFonts w:ascii="Arial" w:eastAsia="Arial" w:hAnsi="Arial" w:cs="Arial"/>
        </w:rPr>
      </w:pPr>
      <w:r>
        <w:rPr>
          <w:rFonts w:ascii="Arial" w:hAnsi="Arial"/>
        </w:rPr>
        <w:t>L’ailette du répartiteur tourne plus vite que l’engrais qui entre. L’ailette est entraînée par un moteur électrique asservie à la fréquence de rotation des disques sélecteurs de graines.</w:t>
      </w:r>
    </w:p>
    <w:p w14:paraId="77FD7B80" w14:textId="5ED00D70" w:rsidR="00504DEE" w:rsidRPr="00504DEE" w:rsidRDefault="00504DEE" w:rsidP="00504DEE">
      <w:pPr>
        <w:pStyle w:val="Listenabsatz"/>
        <w:numPr>
          <w:ilvl w:val="0"/>
          <w:numId w:val="15"/>
        </w:numPr>
        <w:spacing w:after="120" w:line="360" w:lineRule="auto"/>
        <w:ind w:right="1695"/>
        <w:rPr>
          <w:rFonts w:ascii="Arial" w:eastAsia="Arial" w:hAnsi="Arial" w:cs="Arial"/>
        </w:rPr>
      </w:pPr>
      <w:r>
        <w:rPr>
          <w:rFonts w:ascii="Arial" w:hAnsi="Arial"/>
        </w:rPr>
        <w:t>L’engrais est collecté et rassemblé durant un tour d’ailette. Un poquet est ainsi réalisé.</w:t>
      </w:r>
    </w:p>
    <w:p w14:paraId="7BBC9C70" w14:textId="6EA05E72" w:rsidR="00504DEE" w:rsidRDefault="00504DEE" w:rsidP="00504DEE">
      <w:pPr>
        <w:pStyle w:val="Listenabsatz"/>
        <w:numPr>
          <w:ilvl w:val="0"/>
          <w:numId w:val="15"/>
        </w:numPr>
        <w:spacing w:after="120" w:line="360" w:lineRule="auto"/>
        <w:ind w:right="1695"/>
        <w:rPr>
          <w:rFonts w:ascii="Arial" w:eastAsia="Arial" w:hAnsi="Arial" w:cs="Arial"/>
        </w:rPr>
      </w:pPr>
      <w:r>
        <w:rPr>
          <w:rFonts w:ascii="Arial" w:hAnsi="Arial"/>
        </w:rPr>
        <w:t>L’engrais quitte le répartiteur vers le disque fertiliseur.</w:t>
      </w:r>
    </w:p>
    <w:p w14:paraId="1933E914" w14:textId="77777777" w:rsidR="00504DEE" w:rsidRDefault="00504DEE" w:rsidP="00504DEE">
      <w:pPr>
        <w:spacing w:after="120" w:line="360" w:lineRule="auto"/>
        <w:ind w:right="1695"/>
        <w:rPr>
          <w:rFonts w:ascii="Arial" w:eastAsia="Arial" w:hAnsi="Arial" w:cs="Arial"/>
        </w:rPr>
      </w:pPr>
    </w:p>
    <w:p w14:paraId="6F3DB97B" w14:textId="77777777" w:rsidR="00504DEE" w:rsidRDefault="00504DEE" w:rsidP="00504DEE">
      <w:pPr>
        <w:spacing w:after="120" w:line="360" w:lineRule="auto"/>
        <w:ind w:right="1695"/>
        <w:rPr>
          <w:rFonts w:ascii="Arial" w:eastAsia="Arial" w:hAnsi="Arial" w:cs="Arial"/>
        </w:rPr>
      </w:pPr>
    </w:p>
    <w:p w14:paraId="0D444C75" w14:textId="023A8E37" w:rsidR="00504DEE" w:rsidRDefault="00504DEE" w:rsidP="00504DE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B6E7CBE" wp14:editId="77C88948">
            <wp:extent cx="4053600" cy="2880000"/>
            <wp:effectExtent l="0" t="0" r="0" b="3175"/>
            <wp:docPr id="47112960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129603" name="Grafik 47112960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79EA0250" w14:textId="77777777" w:rsidR="00504DEE" w:rsidRPr="00504DEE" w:rsidRDefault="00504DEE" w:rsidP="00504DEE">
      <w:pPr>
        <w:spacing w:after="120" w:line="360" w:lineRule="auto"/>
        <w:ind w:left="567" w:right="1695"/>
        <w:rPr>
          <w:rFonts w:ascii="Arial" w:eastAsia="Arial" w:hAnsi="Arial" w:cs="Arial"/>
        </w:rPr>
      </w:pPr>
      <w:proofErr w:type="spellStart"/>
      <w:r>
        <w:rPr>
          <w:rFonts w:ascii="Arial" w:hAnsi="Arial"/>
        </w:rPr>
        <w:t>FertiSpot</w:t>
      </w:r>
      <w:proofErr w:type="spellEnd"/>
      <w:r>
        <w:rPr>
          <w:rFonts w:ascii="Arial" w:hAnsi="Arial"/>
        </w:rPr>
        <w:t xml:space="preserve"> est totalement intégré dans le logiciel ISOBUS du </w:t>
      </w:r>
      <w:proofErr w:type="spellStart"/>
      <w:r>
        <w:rPr>
          <w:rFonts w:ascii="Arial" w:hAnsi="Arial"/>
        </w:rPr>
        <w:t>Precea</w:t>
      </w:r>
      <w:proofErr w:type="spellEnd"/>
      <w:r>
        <w:rPr>
          <w:rFonts w:ascii="Arial" w:hAnsi="Arial"/>
        </w:rPr>
        <w:t>. La répartition en poquets de l’engrais peut être convertie en implantation en bande par le biais de l’</w:t>
      </w:r>
      <w:proofErr w:type="spellStart"/>
      <w:r>
        <w:rPr>
          <w:rFonts w:ascii="Arial" w:hAnsi="Arial"/>
        </w:rPr>
        <w:t>AmaTron</w:t>
      </w:r>
      <w:proofErr w:type="spellEnd"/>
      <w:r>
        <w:rPr>
          <w:rFonts w:ascii="Arial" w:hAnsi="Arial"/>
        </w:rPr>
        <w:t xml:space="preserve"> 4.</w:t>
      </w:r>
    </w:p>
    <w:p w14:paraId="7E0D19F2" w14:textId="77777777" w:rsidR="00504DEE" w:rsidRDefault="00504DEE" w:rsidP="00504DEE">
      <w:pPr>
        <w:spacing w:after="120" w:line="360" w:lineRule="auto"/>
        <w:ind w:left="567" w:right="1695"/>
        <w:rPr>
          <w:rFonts w:ascii="Arial" w:eastAsia="Arial" w:hAnsi="Arial" w:cs="Arial"/>
        </w:rPr>
      </w:pPr>
    </w:p>
    <w:p w14:paraId="36EB5049" w14:textId="77777777" w:rsidR="00504DEE" w:rsidRDefault="00504DEE" w:rsidP="00504DEE">
      <w:pPr>
        <w:spacing w:after="120" w:line="360" w:lineRule="auto"/>
        <w:ind w:left="567" w:right="1695"/>
        <w:rPr>
          <w:rFonts w:ascii="Arial" w:eastAsia="Arial" w:hAnsi="Arial" w:cs="Arial"/>
        </w:rPr>
      </w:pPr>
    </w:p>
    <w:p w14:paraId="508EBD22" w14:textId="47EC1129" w:rsidR="00504DEE" w:rsidRDefault="00504DEE" w:rsidP="00504DEE">
      <w:pPr>
        <w:spacing w:after="120" w:line="360" w:lineRule="auto"/>
        <w:ind w:left="567" w:right="1695"/>
        <w:rPr>
          <w:rFonts w:ascii="Arial" w:eastAsia="Arial" w:hAnsi="Arial" w:cs="Arial"/>
        </w:rPr>
      </w:pPr>
      <w:r>
        <w:rPr>
          <w:rFonts w:ascii="Arial" w:hAnsi="Arial"/>
          <w:noProof/>
        </w:rPr>
        <w:drawing>
          <wp:inline distT="0" distB="0" distL="0" distR="0" wp14:anchorId="465B2165" wp14:editId="20730661">
            <wp:extent cx="1440000" cy="1440000"/>
            <wp:effectExtent l="0" t="0" r="0" b="0"/>
            <wp:docPr id="655543351"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543351" name="Grafik 65554335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66B7A868" w14:textId="77777777" w:rsidR="00504DEE" w:rsidRDefault="00504DEE" w:rsidP="00504DEE">
      <w:pPr>
        <w:spacing w:after="120" w:line="360" w:lineRule="auto"/>
        <w:ind w:left="567" w:right="1695"/>
        <w:rPr>
          <w:rFonts w:ascii="Arial" w:eastAsia="Arial" w:hAnsi="Arial" w:cs="Arial"/>
        </w:rPr>
      </w:pPr>
      <w:r>
        <w:rPr>
          <w:rFonts w:ascii="Arial" w:hAnsi="Arial"/>
        </w:rPr>
        <w:t xml:space="preserve">Vidéo du </w:t>
      </w:r>
      <w:proofErr w:type="spellStart"/>
      <w:r>
        <w:rPr>
          <w:rFonts w:ascii="Arial" w:hAnsi="Arial"/>
        </w:rPr>
        <w:t>FertiSpot</w:t>
      </w:r>
      <w:proofErr w:type="spellEnd"/>
      <w:r>
        <w:rPr>
          <w:rFonts w:ascii="Arial" w:hAnsi="Arial"/>
        </w:rPr>
        <w:t xml:space="preserve"> au travail : </w:t>
      </w:r>
    </w:p>
    <w:p w14:paraId="628970F6" w14:textId="04345543" w:rsidR="00504DEE" w:rsidRPr="00504DEE" w:rsidRDefault="00504DEE" w:rsidP="00504DEE">
      <w:pPr>
        <w:spacing w:after="120" w:line="360" w:lineRule="auto"/>
        <w:ind w:left="567" w:right="1695"/>
        <w:rPr>
          <w:rFonts w:ascii="Arial" w:eastAsia="Arial" w:hAnsi="Arial" w:cs="Arial"/>
          <w:b/>
          <w:bCs/>
        </w:rPr>
      </w:pPr>
      <w:r>
        <w:rPr>
          <w:rFonts w:ascii="Arial" w:hAnsi="Arial"/>
          <w:b/>
        </w:rPr>
        <w:t>www.amazone.net/yt-fertispot</w:t>
      </w:r>
    </w:p>
    <w:p w14:paraId="418D5C8A" w14:textId="77777777" w:rsidR="00504DEE" w:rsidRDefault="00504DEE" w:rsidP="00504DEE">
      <w:pPr>
        <w:spacing w:after="120" w:line="360" w:lineRule="auto"/>
        <w:ind w:left="567" w:right="1695"/>
        <w:rPr>
          <w:rFonts w:ascii="Arial" w:eastAsia="Arial" w:hAnsi="Arial" w:cs="Arial"/>
        </w:rPr>
      </w:pPr>
    </w:p>
    <w:p w14:paraId="15821472" w14:textId="77777777" w:rsidR="00504DEE" w:rsidRDefault="00504DEE" w:rsidP="00504DEE">
      <w:pPr>
        <w:spacing w:after="120" w:line="360" w:lineRule="auto"/>
        <w:ind w:left="567" w:right="1695"/>
        <w:rPr>
          <w:rFonts w:ascii="Arial" w:eastAsia="Arial" w:hAnsi="Arial" w:cs="Arial"/>
        </w:rPr>
      </w:pPr>
    </w:p>
    <w:p w14:paraId="42647DFA" w14:textId="7DC06E6C" w:rsidR="00504DEE" w:rsidRDefault="00504DEE" w:rsidP="00504DE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5A5929B5" wp14:editId="725776BC">
            <wp:extent cx="6120000" cy="2649600"/>
            <wp:effectExtent l="0" t="0" r="1905" b="5080"/>
            <wp:docPr id="681292969"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292969" name="Grafik 681292969"/>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000" cy="2649600"/>
                    </a:xfrm>
                    <a:prstGeom prst="rect">
                      <a:avLst/>
                    </a:prstGeom>
                  </pic:spPr>
                </pic:pic>
              </a:graphicData>
            </a:graphic>
          </wp:inline>
        </w:drawing>
      </w:r>
    </w:p>
    <w:p w14:paraId="5C8F95DD" w14:textId="5FDFDB13" w:rsidR="00504DEE" w:rsidRPr="00504DEE" w:rsidRDefault="00504DEE" w:rsidP="00504DEE">
      <w:pPr>
        <w:spacing w:after="120" w:line="360" w:lineRule="auto"/>
        <w:ind w:left="567" w:right="1695"/>
        <w:rPr>
          <w:rFonts w:ascii="Arial" w:eastAsia="Arial" w:hAnsi="Arial" w:cs="Arial"/>
        </w:rPr>
      </w:pPr>
      <w:r>
        <w:rPr>
          <w:rFonts w:ascii="Arial" w:hAnsi="Arial"/>
        </w:rPr>
        <w:t>Implantation en poquets de l’engrais 5 cm à côté et 5 cm en dessous de la graine de maïs. L’engrais est implanté uniquement là où il est immédiatement disponible pour la plante.</w:t>
      </w:r>
    </w:p>
    <w:p w14:paraId="07C178FE" w14:textId="77777777" w:rsidR="00504DEE" w:rsidRDefault="00504DEE" w:rsidP="00504DEE">
      <w:pPr>
        <w:spacing w:after="120" w:line="360" w:lineRule="auto"/>
        <w:ind w:left="567" w:right="1695"/>
        <w:rPr>
          <w:rFonts w:ascii="Arial" w:eastAsia="Arial" w:hAnsi="Arial" w:cs="Arial"/>
        </w:rPr>
      </w:pPr>
    </w:p>
    <w:p w14:paraId="7856BA14" w14:textId="77777777" w:rsidR="00504DEE" w:rsidRDefault="00504DEE" w:rsidP="00504DEE">
      <w:pPr>
        <w:spacing w:after="120" w:line="360" w:lineRule="auto"/>
        <w:ind w:left="567" w:right="1695"/>
        <w:rPr>
          <w:rFonts w:ascii="Arial" w:eastAsia="Arial" w:hAnsi="Arial" w:cs="Arial"/>
        </w:rPr>
      </w:pPr>
    </w:p>
    <w:p w14:paraId="1544679C" w14:textId="32E2A4B1" w:rsidR="00504DEE" w:rsidRDefault="0070087D" w:rsidP="00504DE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997AA8E" wp14:editId="7AB3D2CD">
            <wp:extent cx="2880000" cy="2880000"/>
            <wp:effectExtent l="0" t="0" r="3175" b="3175"/>
            <wp:docPr id="70984153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841531" name="Grafik 70984153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80000" cy="2880000"/>
                    </a:xfrm>
                    <a:prstGeom prst="rect">
                      <a:avLst/>
                    </a:prstGeom>
                  </pic:spPr>
                </pic:pic>
              </a:graphicData>
            </a:graphic>
          </wp:inline>
        </w:drawing>
      </w:r>
    </w:p>
    <w:p w14:paraId="3E0D6EBE" w14:textId="25A5916C" w:rsidR="00504DEE" w:rsidRDefault="00504DEE" w:rsidP="00504DEE">
      <w:pPr>
        <w:spacing w:after="120" w:line="360" w:lineRule="auto"/>
        <w:ind w:left="567" w:right="1695"/>
        <w:rPr>
          <w:rFonts w:ascii="Arial" w:eastAsia="Arial" w:hAnsi="Arial" w:cs="Arial"/>
        </w:rPr>
      </w:pPr>
      <w:r>
        <w:rPr>
          <w:rFonts w:ascii="Arial" w:hAnsi="Arial"/>
        </w:rPr>
        <w:t>Le diagramme montre qu'une application ciblée en poquets avec une réduction simultanée de 25 % de l'engrais localisé permet d'obtenir un niveau de rendement équivalent à celui d'une application traditionnelle en bande.</w:t>
      </w:r>
    </w:p>
    <w:p w14:paraId="39A83A7F" w14:textId="77777777" w:rsidR="00504DEE" w:rsidRDefault="00504DEE" w:rsidP="00504DEE">
      <w:pPr>
        <w:spacing w:after="120" w:line="360" w:lineRule="auto"/>
        <w:ind w:left="567" w:right="1695"/>
        <w:rPr>
          <w:rFonts w:ascii="Arial" w:eastAsia="Arial" w:hAnsi="Arial" w:cs="Arial"/>
        </w:rPr>
      </w:pPr>
    </w:p>
    <w:p w14:paraId="6BEFB3B3" w14:textId="2E025AAD" w:rsidR="00504DEE" w:rsidRPr="00504DEE" w:rsidRDefault="00E52E6A" w:rsidP="00504DE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2B5D72C5" wp14:editId="3F30638A">
            <wp:extent cx="2880000" cy="2880000"/>
            <wp:effectExtent l="0" t="0" r="3175" b="3175"/>
            <wp:docPr id="92955535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555359" name="Grafik 929555359"/>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80000" cy="2880000"/>
                    </a:xfrm>
                    <a:prstGeom prst="rect">
                      <a:avLst/>
                    </a:prstGeom>
                  </pic:spPr>
                </pic:pic>
              </a:graphicData>
            </a:graphic>
          </wp:inline>
        </w:drawing>
      </w:r>
    </w:p>
    <w:p w14:paraId="288BF973" w14:textId="03E93437" w:rsidR="00504DEE" w:rsidRPr="00504DEE" w:rsidRDefault="00504DEE" w:rsidP="00504DEE">
      <w:pPr>
        <w:spacing w:after="120" w:line="360" w:lineRule="auto"/>
        <w:ind w:left="567" w:right="1695"/>
        <w:rPr>
          <w:rFonts w:ascii="Arial" w:eastAsia="Arial" w:hAnsi="Arial" w:cs="Arial"/>
        </w:rPr>
      </w:pPr>
      <w:r>
        <w:rPr>
          <w:rFonts w:ascii="Arial" w:hAnsi="Arial"/>
        </w:rPr>
        <w:t>Comparaison des marges brutes entre une application en bande de l'engrais avec 100 % de la quantité d’engrais et une application ciblée avec 75 % de la quantité d’engrais.</w:t>
      </w:r>
    </w:p>
    <w:p w14:paraId="35523488" w14:textId="77777777" w:rsidR="00504DEE" w:rsidRDefault="00504DEE" w:rsidP="00504DEE">
      <w:pPr>
        <w:spacing w:after="120" w:line="360" w:lineRule="auto"/>
        <w:ind w:left="567" w:right="1695"/>
        <w:rPr>
          <w:rFonts w:ascii="Arial" w:eastAsia="Arial" w:hAnsi="Arial" w:cs="Arial"/>
        </w:rPr>
      </w:pPr>
    </w:p>
    <w:p w14:paraId="45BBA7F4" w14:textId="77777777" w:rsidR="00504DEE" w:rsidRPr="00504DEE" w:rsidRDefault="00504DEE" w:rsidP="00504DEE">
      <w:pPr>
        <w:spacing w:after="120" w:line="360" w:lineRule="auto"/>
        <w:ind w:left="567" w:right="1695"/>
        <w:rPr>
          <w:rFonts w:ascii="Arial" w:eastAsia="Arial" w:hAnsi="Arial" w:cs="Arial"/>
        </w:rPr>
      </w:pPr>
    </w:p>
    <w:p w14:paraId="0913D630" w14:textId="77777777" w:rsidR="00C46CAE" w:rsidRPr="00F4316E" w:rsidRDefault="00C46CAE"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Il convient de vérifier les charges autorisées par essieu et le poids total du tracteur. Toutes les possibilités de combinaison énumérées ne sont pas réalisables pour tous les fabricants de tracteurs.</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 propos de la société AMAZONE</w:t>
      </w:r>
    </w:p>
    <w:p w14:paraId="7F8944CC" w14:textId="766A7635"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Hasbergen-Gaste</w:t>
      </w:r>
      <w:proofErr w:type="spellEnd"/>
      <w:r>
        <w:rPr>
          <w:rFonts w:ascii="Arial" w:hAnsi="Arial"/>
          <w:color w:val="808080" w:themeColor="background1" w:themeShade="80"/>
          <w:sz w:val="20"/>
        </w:rPr>
        <w:t xml:space="preserve"> fabriquent des machines agricoles et espaces verts. L’entreprise dirigée par ses propriétaires emploie plus que 2 000 salariés sur neuf sites de production différents. Les outils de préparation du sol, les semoirs, les épandeurs d’engrais et les pulvérisateurs font partie de la gamme de production des machines agricoles. La marque de bineuses SCHMOTZER fait partie du groupe AMAZONE depuis 2019. Sur la base de ces compétences clés, AMAZONE est aujourd’hui spécialiste pour une "agriculture durable". Autres informations : </w:t>
      </w:r>
      <w:hyperlink r:id="rId19" w:history="1">
        <w:r>
          <w:rPr>
            <w:rStyle w:val="Hyperlink"/>
            <w:rFonts w:ascii="Arial" w:hAnsi="Arial"/>
            <w:sz w:val="20"/>
          </w:rPr>
          <w:t>www.amazone.fr</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014C0C68">
            <wp:extent cx="241300" cy="241300"/>
            <wp:effectExtent l="0" t="0" r="6350" b="6350"/>
            <wp:docPr id="13" name="Grafik 13">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45FC761D">
            <wp:extent cx="241300" cy="241300"/>
            <wp:effectExtent l="0" t="0" r="6350" b="6350"/>
            <wp:docPr id="12" name="Grafik 12">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2DEBB145">
            <wp:extent cx="241300" cy="241300"/>
            <wp:effectExtent l="0" t="0" r="6350" b="6350"/>
            <wp:docPr id="11" name="Grafik 11">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7D93E601">
            <wp:extent cx="241300" cy="241300"/>
            <wp:effectExtent l="0" t="0" r="6350" b="6350"/>
            <wp:docPr id="10" name="Grafik 10">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7130F0D4">
            <wp:extent cx="241300" cy="241300"/>
            <wp:effectExtent l="0" t="0" r="6350" b="6350"/>
            <wp:docPr id="7" name="Grafik 7">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2"/>
                    </pic:cNvPr>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35"/>
      <w:headerReference w:type="default" r:id="rId36"/>
      <w:footerReference w:type="even" r:id="rId37"/>
      <w:footerReference w:type="default" r:id="rId38"/>
      <w:headerReference w:type="first" r:id="rId39"/>
      <w:footerReference w:type="first" r:id="rId40"/>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86C126" w14:textId="77777777" w:rsidR="001E1E50" w:rsidRDefault="001E1E50">
      <w:r>
        <w:separator/>
      </w:r>
    </w:p>
  </w:endnote>
  <w:endnote w:type="continuationSeparator" w:id="0">
    <w:p w14:paraId="4370916E" w14:textId="77777777" w:rsidR="001E1E50" w:rsidRDefault="001E1E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Page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Hasbergen-Gaste</w:t>
                          </w:r>
                          <w:proofErr w:type="spellEnd"/>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Tél. : +49 (0)5405 501-0 ∙ amazone@amazone.de ∙ www.amazone.de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A26364" w14:textId="77777777" w:rsidR="001E1E50" w:rsidRDefault="001E1E50">
      <w:r>
        <w:separator/>
      </w:r>
    </w:p>
  </w:footnote>
  <w:footnote w:type="continuationSeparator" w:id="0">
    <w:p w14:paraId="63883371" w14:textId="77777777" w:rsidR="001E1E50" w:rsidRDefault="001E1E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Communiqué de presse</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B676724"/>
    <w:multiLevelType w:val="hybridMultilevel"/>
    <w:tmpl w:val="2F9E3498"/>
    <w:lvl w:ilvl="0" w:tplc="FFFFFFFF">
      <w:start w:val="1"/>
      <w:numFmt w:val="bullet"/>
      <w:lvlText w:val=""/>
      <w:lvlJc w:val="left"/>
      <w:pPr>
        <w:ind w:left="720" w:hanging="360"/>
      </w:pPr>
      <w:rPr>
        <w:rFonts w:ascii="Symbol" w:hAnsi="Symbol" w:hint="default"/>
      </w:rPr>
    </w:lvl>
    <w:lvl w:ilvl="1" w:tplc="2FAA1B28">
      <w:numFmt w:val="bullet"/>
      <w:lvlText w:val="–"/>
      <w:lvlJc w:val="left"/>
      <w:pPr>
        <w:ind w:left="1440" w:hanging="360"/>
      </w:pPr>
      <w:rPr>
        <w:rFonts w:ascii="Arial" w:eastAsia="Arial" w:hAnsi="Arial" w:cs="Aria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321501AC"/>
    <w:multiLevelType w:val="hybridMultilevel"/>
    <w:tmpl w:val="7E4CB626"/>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8"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4ACA683F"/>
    <w:multiLevelType w:val="hybridMultilevel"/>
    <w:tmpl w:val="2872ED4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D451516"/>
    <w:multiLevelType w:val="hybridMultilevel"/>
    <w:tmpl w:val="2F7C2F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5AF70C0B"/>
    <w:multiLevelType w:val="hybridMultilevel"/>
    <w:tmpl w:val="80F4ABEA"/>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15"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5FDB0F48"/>
    <w:multiLevelType w:val="hybridMultilevel"/>
    <w:tmpl w:val="DB248C8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7A7953F9"/>
    <w:multiLevelType w:val="hybridMultilevel"/>
    <w:tmpl w:val="61846EDA"/>
    <w:lvl w:ilvl="0" w:tplc="C98A6758">
      <w:numFmt w:val="bullet"/>
      <w:lvlText w:val="•"/>
      <w:lvlJc w:val="left"/>
      <w:pPr>
        <w:ind w:left="927" w:hanging="360"/>
      </w:pPr>
      <w:rPr>
        <w:rFonts w:ascii="Arial" w:eastAsia="Arial" w:hAnsi="Arial" w:cs="Arial" w:hint="default"/>
      </w:rPr>
    </w:lvl>
    <w:lvl w:ilvl="1" w:tplc="2FAA1B28">
      <w:numFmt w:val="bullet"/>
      <w:lvlText w:val="–"/>
      <w:lvlJc w:val="left"/>
      <w:pPr>
        <w:ind w:left="1647" w:hanging="360"/>
      </w:pPr>
      <w:rPr>
        <w:rFonts w:ascii="Arial" w:eastAsia="Arial" w:hAnsi="Arial" w:cs="Arial"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8"/>
  </w:num>
  <w:num w:numId="2" w16cid:durableId="1510219160">
    <w:abstractNumId w:val="0"/>
  </w:num>
  <w:num w:numId="3" w16cid:durableId="613364659">
    <w:abstractNumId w:val="5"/>
  </w:num>
  <w:num w:numId="4" w16cid:durableId="1043675452">
    <w:abstractNumId w:val="6"/>
  </w:num>
  <w:num w:numId="5" w16cid:durableId="2011105495">
    <w:abstractNumId w:val="2"/>
  </w:num>
  <w:num w:numId="6" w16cid:durableId="240917465">
    <w:abstractNumId w:val="1"/>
  </w:num>
  <w:num w:numId="7" w16cid:durableId="750658751">
    <w:abstractNumId w:val="15"/>
  </w:num>
  <w:num w:numId="8" w16cid:durableId="294531490">
    <w:abstractNumId w:val="13"/>
  </w:num>
  <w:num w:numId="9" w16cid:durableId="2071071478">
    <w:abstractNumId w:val="4"/>
  </w:num>
  <w:num w:numId="10" w16cid:durableId="136532471">
    <w:abstractNumId w:val="9"/>
  </w:num>
  <w:num w:numId="11" w16cid:durableId="2055814173">
    <w:abstractNumId w:val="10"/>
  </w:num>
  <w:num w:numId="12" w16cid:durableId="636498599">
    <w:abstractNumId w:val="16"/>
  </w:num>
  <w:num w:numId="13" w16cid:durableId="118423553">
    <w:abstractNumId w:val="17"/>
  </w:num>
  <w:num w:numId="14" w16cid:durableId="829760175">
    <w:abstractNumId w:val="14"/>
  </w:num>
  <w:num w:numId="15" w16cid:durableId="846485430">
    <w:abstractNumId w:val="7"/>
  </w:num>
  <w:num w:numId="16" w16cid:durableId="1319649389">
    <w:abstractNumId w:val="11"/>
  </w:num>
  <w:num w:numId="17" w16cid:durableId="861210839">
    <w:abstractNumId w:val="12"/>
  </w:num>
  <w:num w:numId="18" w16cid:durableId="30921698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5F1"/>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1E50"/>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488"/>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4DEE"/>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334B"/>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087D"/>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9FD"/>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1704"/>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51"/>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CA6"/>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73428"/>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2E6A"/>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yperlink" Target="https://www.youtube.com/user/amazonede" TargetMode="External"/><Relationship Id="rId39" Type="http://schemas.openxmlformats.org/officeDocument/2006/relationships/header" Target="header3.xml"/><Relationship Id="rId21" Type="http://schemas.openxmlformats.org/officeDocument/2006/relationships/image" Target="media/image12.jpeg"/><Relationship Id="rId34" Type="http://schemas.openxmlformats.org/officeDocument/2006/relationships/image" Target="cid:Xing1_e3730686-2953-47a9-9c47-dbaa518a9207.jpg" TargetMode="External"/><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yperlink" Target="https://www.facebook.com/amazone.france" TargetMode="External"/><Relationship Id="rId29" Type="http://schemas.openxmlformats.org/officeDocument/2006/relationships/hyperlink" Target="https://www.linkedin.com/company/amazone-france/"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3.jpeg"/><Relationship Id="rId32" Type="http://schemas.openxmlformats.org/officeDocument/2006/relationships/hyperlink" Target="https://www.xing.com/company/amazone" TargetMode="External"/><Relationship Id="rId37" Type="http://schemas.openxmlformats.org/officeDocument/2006/relationships/footer" Target="footer1.xml"/><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instagram.com/amazone_france" TargetMode="External"/><Relationship Id="rId28" Type="http://schemas.openxmlformats.org/officeDocument/2006/relationships/image" Target="cid:YT_e9180d16-5a2b-4618-92e9-22a015f9cafb.jpg" TargetMode="External"/><Relationship Id="rId36" Type="http://schemas.openxmlformats.org/officeDocument/2006/relationships/header" Target="header2.xml"/><Relationship Id="rId10" Type="http://schemas.openxmlformats.org/officeDocument/2006/relationships/image" Target="media/image3.jpeg"/><Relationship Id="rId19" Type="http://schemas.openxmlformats.org/officeDocument/2006/relationships/hyperlink" Target="https://www.amazone.fr" TargetMode="External"/><Relationship Id="rId31" Type="http://schemas.openxmlformats.org/officeDocument/2006/relationships/image" Target="cid:LinkedIn_80de4e9c-c7a3-41e3-8e11-063f7eace13d.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FB_70d43fd1-a841-4de4-bbaa-3e1f495f95d3.jpg" TargetMode="External"/><Relationship Id="rId27" Type="http://schemas.openxmlformats.org/officeDocument/2006/relationships/image" Target="media/image14.jpeg"/><Relationship Id="rId30" Type="http://schemas.openxmlformats.org/officeDocument/2006/relationships/image" Target="media/image15.jpeg"/><Relationship Id="rId35" Type="http://schemas.openxmlformats.org/officeDocument/2006/relationships/header" Target="header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cid:IG_efb650a7-31e4-4674-98db-f2d2d5c58dce.jpg" TargetMode="External"/><Relationship Id="rId33" Type="http://schemas.openxmlformats.org/officeDocument/2006/relationships/image" Target="media/image16.jpeg"/><Relationship Id="rId38" Type="http://schemas.openxmlformats.org/officeDocument/2006/relationships/footer" Target="footer2.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7.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1149</Words>
  <Characters>7242</Characters>
  <Application>Microsoft Office Word</Application>
  <DocSecurity>0</DocSecurity>
  <Lines>60</Lines>
  <Paragraphs>16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8375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2023-09-08T08:19:00Z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