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4E2E6A" w14:textId="386CF38E" w:rsidR="00C46CAE" w:rsidRPr="00231069" w:rsidRDefault="00496488" w:rsidP="00496488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proofErr w:type="spellStart"/>
      <w:r>
        <w:rPr>
          <w:rFonts w:ascii="Arial" w:hAnsi="Arial"/>
          <w:b/>
          <w:sz w:val="28"/>
        </w:rPr>
        <w:t>FertiSpot</w:t>
      </w:r>
      <w:proofErr w:type="spellEnd"/>
      <w:r>
        <w:rPr>
          <w:rFonts w:ascii="Arial" w:hAnsi="Arial"/>
          <w:b/>
          <w:sz w:val="28"/>
        </w:rPr>
        <w:t xml:space="preserve"> dla siewnika punktowego </w:t>
      </w:r>
      <w:proofErr w:type="spellStart"/>
      <w:r>
        <w:rPr>
          <w:rFonts w:ascii="Arial" w:hAnsi="Arial"/>
          <w:b/>
          <w:sz w:val="28"/>
        </w:rPr>
        <w:t>Precea</w:t>
      </w:r>
      <w:proofErr w:type="spellEnd"/>
    </w:p>
    <w:p w14:paraId="51714D9B" w14:textId="77777777" w:rsidR="00496488" w:rsidRPr="00496488" w:rsidRDefault="00496488" w:rsidP="00496488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Punktowa aplikacja nawozu: Teraz też z synchronizacją pomiędzy między nasionami i dla wszystkich typów maszyn </w:t>
      </w:r>
      <w:proofErr w:type="spellStart"/>
      <w:r>
        <w:rPr>
          <w:rFonts w:ascii="Arial" w:hAnsi="Arial"/>
          <w:b/>
        </w:rPr>
        <w:t>Precea</w:t>
      </w:r>
      <w:proofErr w:type="spellEnd"/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7A07821A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System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umożliwia punktowe dozowanie nawozu pod nasionami. Ze względu na przepisy prawne ograniczające ilość stosowanych nawozów, prawdziwym wyzwaniem jest coraz bardziej optymalne zastosowanie nawozów. Skłoniło to AMAZONE do ciągłego udoskonalania systemu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. AMAZONE prezentuje na targach </w:t>
      </w:r>
      <w:proofErr w:type="spellStart"/>
      <w:r>
        <w:rPr>
          <w:rFonts w:ascii="Arial" w:hAnsi="Arial"/>
        </w:rPr>
        <w:t>Agritechnica</w:t>
      </w:r>
      <w:proofErr w:type="spellEnd"/>
      <w:r>
        <w:rPr>
          <w:rFonts w:ascii="Arial" w:hAnsi="Arial"/>
        </w:rPr>
        <w:t xml:space="preserve"> 2023 </w:t>
      </w:r>
      <w:proofErr w:type="spellStart"/>
      <w:r>
        <w:rPr>
          <w:rFonts w:ascii="Arial" w:hAnsi="Arial"/>
        </w:rPr>
        <w:t>FertiSpor</w:t>
      </w:r>
      <w:proofErr w:type="spellEnd"/>
      <w:r>
        <w:rPr>
          <w:rFonts w:ascii="Arial" w:hAnsi="Arial"/>
        </w:rPr>
        <w:t xml:space="preserve"> z dodatkową opcją pozwalającą umieszczać porcje nawozu w sposób zsynchronizowany pomiędzy nasionami.</w:t>
      </w:r>
    </w:p>
    <w:p w14:paraId="57620368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D172B1D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W 2019 roku firma AMAZONE zaprezentowała system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pozwalający odkładać nawóz pod rośliną. System pozwala maksymalnie wydajnie dozować nawóz, zwłaszcza podczas siewu kukurydzy. Ze względu na rozpowszechnienie się siewu punktowego również w innych uprawach firma AMAZONE dalej udoskonaliła system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>. Dzięki temu, że porcja nawozu może być teraz umieszczana w sposób zsynchronizowany między nasionami, system umożliwia uzyskanie dużych koncentracji nawozu, chroniąc jednocześnie wrażliwe uprawy przed wypaleniem. Procedura ta ma zalety zwłaszcza w przypadku upraw takich jak burak cukrowy. Tam, gdzie gleba jest bardzo sucha, aplikacja między nasionami może być korzystna w przypadku wszystkich upraw. Jeżeli nawóz zostanie umieszczony zbyt blisko nasion, zabiera on roślinom niezbędną wilgoć, co może powodować wyschnięcie materiału siewnego lub ich niedostateczne zaopatrzenie w wodę.</w:t>
      </w:r>
    </w:p>
    <w:p w14:paraId="66641230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CDDC130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Budowa </w:t>
      </w:r>
      <w:proofErr w:type="spellStart"/>
      <w:r>
        <w:rPr>
          <w:rFonts w:ascii="Arial" w:hAnsi="Arial"/>
          <w:b/>
        </w:rPr>
        <w:t>FertiSpot</w:t>
      </w:r>
      <w:proofErr w:type="spellEnd"/>
      <w:r>
        <w:rPr>
          <w:rFonts w:ascii="Arial" w:hAnsi="Arial"/>
          <w:b/>
        </w:rPr>
        <w:t xml:space="preserve"> z nawozem granulowanym</w:t>
      </w:r>
    </w:p>
    <w:p w14:paraId="72493D7A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Siewnik punktowy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 z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dla nawozu granulowanego podobnie jak klasyczny siewnik punktowy jest wyposażony w zbiornik nawozu i system jego dozowania. System dozowania pozwala wyregulować niezbędną dawkę na hektar. Może ona być także zmienna dzięki kartom aplikacyjnym. System </w:t>
      </w:r>
      <w:r>
        <w:rPr>
          <w:rFonts w:ascii="Arial" w:hAnsi="Arial"/>
        </w:rPr>
        <w:lastRenderedPageBreak/>
        <w:t xml:space="preserve">przełączania podczas nawożenia za pomocą funkcji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Control na klinach pola i ukośnych poprzeczniakach pozwala wyłączać nawóz w poszczególnych rzędach. Nawóz mineralny z dozownika nawozu dostaje się do mechanizmu porcjowania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. Strumień nawozu doprowadzany w sposób ciągły i gromadzony przez szybkobieżne skrzydła porcjujące, opuszcza zespół porcjowania jako jedna partia, która następnie jest przekazywana do redlicy nawozowej. Sterowanie zespołu porcjowania i wysiew ziarna są zsynchronizowane. Regulację zapewnia układ sterowania ISOBUS siewnika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. Dzięki udoskonaleniom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nawóz nadal może być odkładany jako porcja bezpośrednio pod roślinę, albo również jako porcja między ziarnami. Na sterowniku ISOBUS operator ciągnika może podać, gdzie dokładnie ma się znaleźć porcja nawozu. W przypadku dalszych udoskonaleń dozownika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możliwe jest przesunięcie porcji nawozu. Na sterowniku ISOBUS operator ciągnika może teraz zdefiniować, gdzie dokładnie ma znajdować się porcja nawozu – pod ziarnem lub ewentualnie między dwoma wysianymi ziarnami. Ponadto za pomocą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możliwa jest również aplikacja pasowa. Specjalna konstrukcja w zależności od specyfikacji maszyny pozwala wysiać normy do 250 kg na hektar, niezależnie od gatunku nawozu.</w:t>
      </w:r>
    </w:p>
    <w:p w14:paraId="1F0014EA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C878DD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Lepsze wykorzystanie nawozu przez rośliny</w:t>
      </w:r>
    </w:p>
    <w:p w14:paraId="6BD1A6C0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Celowe umieszczenie nawozu w obszarze nasion prowadzi do znacznie lepszego wykorzystania substancji odżywczych, ponieważ zwiększa się dostępność dla rośliny. Większa dostępność poprzez aplikację punktową umożliwia redukcję całkowitej ilości nawozu na hektar. Zgodnie z badaniami politechniki w Kolonii (TH Köln) prognozowane są oszczędności nawozu wynoszące 25% przy tym samym poziomie plonu.</w:t>
      </w:r>
    </w:p>
    <w:p w14:paraId="686A606B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4F70650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Obok pozytywnych efektów w zakresie ochrony środowiska można też mówić o zaletach dla samego gospodarstwa i warunków pracy. Oprócz bezpośrednich oszczędności dzięki ograniczeniom nakładów na nawóz na hektar, można dodatkowo oszczędzić dzięki wyższej wydajności siewu przy ograniczeniu </w:t>
      </w:r>
      <w:r>
        <w:rPr>
          <w:rFonts w:ascii="Arial" w:hAnsi="Arial"/>
        </w:rPr>
        <w:lastRenderedPageBreak/>
        <w:t>przerw na napełnianie do 25%. W regionach, w których prowadzona jest intensywna hodowla, oszczędności w wykorzystaniu nawozu mineralnego pozwalają lepiej wykorzystać powstający w gospodarstwie nawóz naturalny.</w:t>
      </w:r>
    </w:p>
    <w:p w14:paraId="65A56E9C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BA20EC" w14:textId="77777777" w:rsid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Wysokie oszczędności nawozu pozwalają nie tylko rolnikom uzyskać wartość dodaną. Również usługodawcy mogą zaoszczędzić czas i środki, ponieważ dzięki ograniczeniu przestojów na napełnianie nawozem uzyskują lepszą wydajność. Na ograniczeniu i bardziej efektywnym wykorzystaniu nawozu może skorzystać również środowisko.</w:t>
      </w:r>
    </w:p>
    <w:p w14:paraId="5F6B704E" w14:textId="77777777" w:rsidR="00496488" w:rsidRPr="00496488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6ACD29" w14:textId="468DF339" w:rsidR="00161FDD" w:rsidRDefault="00496488" w:rsidP="0049648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Dalszy rozwój systemu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umożliwił jego wykorzystanie w różnych uprawach. Dzięki zmiennej aplikacji pomiędzy ziarnami można umieścić porcję nawozu również w przypadku bardziej wrażliwych upraw. Rośliny takie jak rzepak i buraki cukrowe, które są bardziej wrażliwe na nawóz zostają wtedy zaopatrzone w jego optymalną, mniejszą dawkę.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55F60C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33BFC" w14:textId="70F0AD98" w:rsidR="00496488" w:rsidRPr="009B1704" w:rsidRDefault="00496488" w:rsidP="009B1704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pozwala wyraźnie ograniczyć ilość nawozu, co wpływa korzystnie na środowisko</w:t>
      </w:r>
    </w:p>
    <w:p w14:paraId="7740E68B" w14:textId="36469809" w:rsidR="00496488" w:rsidRPr="009B1704" w:rsidRDefault="00496488" w:rsidP="009B1704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Zalety ograniczenia ilości nawozu:</w:t>
      </w:r>
    </w:p>
    <w:p w14:paraId="0FD964F3" w14:textId="547AD6BB" w:rsidR="00496488" w:rsidRPr="009B1704" w:rsidRDefault="00496488" w:rsidP="009B1704">
      <w:pPr>
        <w:pStyle w:val="Listenabsatz"/>
        <w:numPr>
          <w:ilvl w:val="1"/>
          <w:numId w:val="1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Rolnik: mniejsze koszty nawozu</w:t>
      </w:r>
    </w:p>
    <w:p w14:paraId="1F8FF45A" w14:textId="1D7B5311" w:rsidR="00161FDD" w:rsidRPr="009B1704" w:rsidRDefault="00496488" w:rsidP="009B1704">
      <w:pPr>
        <w:pStyle w:val="Listenabsatz"/>
        <w:numPr>
          <w:ilvl w:val="1"/>
          <w:numId w:val="18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>Usługodawca: większa wydajność dzięki krótszym czasom przezbrajania</w:t>
      </w:r>
    </w:p>
    <w:p w14:paraId="33A19A94" w14:textId="77777777" w:rsidR="00C46CAE" w:rsidRDefault="00C46CAE" w:rsidP="00161FDD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B2E8B6" w14:textId="0D34D093" w:rsidR="00496488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E323F44" wp14:editId="593A66A8">
            <wp:extent cx="3477600" cy="2880000"/>
            <wp:effectExtent l="0" t="0" r="2540" b="3175"/>
            <wp:docPr id="157359565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595657" name="Grafik 157359565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7D047" w14:textId="383E6543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 6000-2FCC z dozownikiem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umożliwiającym porcjowanie aplikowanego nawozu. Nawóz transportowany jest ze zbiornika przedniego </w:t>
      </w:r>
      <w:proofErr w:type="spellStart"/>
      <w:r>
        <w:rPr>
          <w:rFonts w:ascii="Arial" w:hAnsi="Arial"/>
        </w:rPr>
        <w:t>FTender</w:t>
      </w:r>
      <w:proofErr w:type="spellEnd"/>
      <w:r>
        <w:rPr>
          <w:rFonts w:ascii="Arial" w:hAnsi="Arial"/>
        </w:rPr>
        <w:t xml:space="preserve"> 2200 do tyłu maszyny i jest tam porcjowany.</w:t>
      </w:r>
    </w:p>
    <w:p w14:paraId="66445704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436670" w14:textId="3BDF1556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8424DF8" wp14:editId="5527216E">
            <wp:extent cx="1684800" cy="2880000"/>
            <wp:effectExtent l="0" t="0" r="4445" b="3175"/>
            <wp:docPr id="184406830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068303" name="Grafik 184406830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4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B4621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Budowa systemu </w:t>
      </w:r>
      <w:proofErr w:type="spellStart"/>
      <w:r>
        <w:rPr>
          <w:rFonts w:ascii="Arial" w:hAnsi="Arial"/>
          <w:b/>
        </w:rPr>
        <w:t>FertiSpot</w:t>
      </w:r>
      <w:proofErr w:type="spellEnd"/>
      <w:r>
        <w:rPr>
          <w:rFonts w:ascii="Arial" w:hAnsi="Arial"/>
          <w:b/>
        </w:rPr>
        <w:t xml:space="preserve"> – informacje ogólne</w:t>
      </w:r>
    </w:p>
    <w:p w14:paraId="1D2E4405" w14:textId="043BAA15" w:rsidR="00504DEE" w:rsidRPr="00504DEE" w:rsidRDefault="00504DEE" w:rsidP="00504DEE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Zbiornik nawozu: </w:t>
      </w:r>
      <w:r>
        <w:rPr>
          <w:rFonts w:ascii="Arial" w:hAnsi="Arial"/>
        </w:rPr>
        <w:t>Zapas nawozu pod korzeń</w:t>
      </w:r>
    </w:p>
    <w:p w14:paraId="12F43A1A" w14:textId="7FF8969B" w:rsidR="00504DEE" w:rsidRPr="00504DEE" w:rsidRDefault="00504DEE" w:rsidP="00504DEE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Dozownik:</w:t>
      </w:r>
      <w:r>
        <w:rPr>
          <w:rFonts w:ascii="Arial" w:hAnsi="Arial"/>
        </w:rPr>
        <w:t xml:space="preserve"> Dozowanie ilościowe nawozu</w:t>
      </w:r>
    </w:p>
    <w:p w14:paraId="3E65B975" w14:textId="7EB6B43D" w:rsidR="00504DEE" w:rsidRPr="00504DEE" w:rsidRDefault="00504DEE" w:rsidP="00504DEE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Zespół porcjowania:</w:t>
      </w:r>
      <w:r>
        <w:rPr>
          <w:rFonts w:ascii="Arial" w:hAnsi="Arial"/>
        </w:rPr>
        <w:t xml:space="preserve"> Porcjowanie nawozu</w:t>
      </w:r>
    </w:p>
    <w:p w14:paraId="63CF0FF3" w14:textId="422D72C9" w:rsidR="00504DEE" w:rsidRPr="00504DEE" w:rsidRDefault="00504DEE" w:rsidP="00504DEE">
      <w:pPr>
        <w:pStyle w:val="Listenabsatz"/>
        <w:numPr>
          <w:ilvl w:val="0"/>
          <w:numId w:val="1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Redlica nawozowa:</w:t>
      </w:r>
      <w:r>
        <w:rPr>
          <w:rFonts w:ascii="Arial" w:hAnsi="Arial"/>
        </w:rPr>
        <w:t xml:space="preserve"> Wprowadzenie nawozu do gleby</w:t>
      </w:r>
    </w:p>
    <w:p w14:paraId="3CFBFA4C" w14:textId="1CC0B06A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73C8D41" wp14:editId="0AF0DBA6">
            <wp:extent cx="5155200" cy="2880000"/>
            <wp:effectExtent l="0" t="0" r="1270" b="3175"/>
            <wp:docPr id="169854497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544977" name="Grafik 169854497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5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791AC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Nawóz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pod rośliną</w:t>
      </w:r>
    </w:p>
    <w:p w14:paraId="19BBE4B8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E6FF19A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9CE33A" w14:textId="0A46D2C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A10C8E0" wp14:editId="4ABB3519">
            <wp:extent cx="5187600" cy="2880000"/>
            <wp:effectExtent l="0" t="0" r="0" b="3175"/>
            <wp:docPr id="1647065159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065159" name="Grafik 164706515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CDEA3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Nawóz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między roślinami</w:t>
      </w:r>
    </w:p>
    <w:p w14:paraId="7C5A1D8D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C1B7682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38FEB0E" w14:textId="77777777" w:rsidR="00504DEE" w:rsidRDefault="00504DEE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DD7933" w14:textId="6301D462" w:rsidR="00504DEE" w:rsidRDefault="00BD058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583D9B4D" wp14:editId="055279C4">
            <wp:extent cx="5047200" cy="2880000"/>
            <wp:effectExtent l="0" t="0" r="0" b="3175"/>
            <wp:docPr id="112408013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080135" name="Grafik 112408013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5DCF9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Budowa zespołu porcjowania </w:t>
      </w:r>
      <w:proofErr w:type="spellStart"/>
      <w:r>
        <w:rPr>
          <w:rFonts w:ascii="Arial" w:hAnsi="Arial"/>
          <w:b/>
        </w:rPr>
        <w:t>FertiSpot</w:t>
      </w:r>
      <w:proofErr w:type="spellEnd"/>
      <w:r>
        <w:rPr>
          <w:rFonts w:ascii="Arial" w:hAnsi="Arial"/>
          <w:b/>
        </w:rPr>
        <w:t xml:space="preserve"> – informacje szczegółowe</w:t>
      </w:r>
    </w:p>
    <w:p w14:paraId="7212FFD4" w14:textId="23B23163" w:rsidR="00504DEE" w:rsidRPr="00504DEE" w:rsidRDefault="00504DEE" w:rsidP="00504DEE">
      <w:pPr>
        <w:pStyle w:val="Listenabsatz"/>
        <w:numPr>
          <w:ilvl w:val="0"/>
          <w:numId w:val="1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Nawóz przekazywany jest od góry do zespołu porcjowania. Wąż jest połączony z klasycznym dozownikiem.</w:t>
      </w:r>
    </w:p>
    <w:p w14:paraId="5DED69B7" w14:textId="704BC6BA" w:rsidR="00504DEE" w:rsidRPr="00504DEE" w:rsidRDefault="00504DEE" w:rsidP="00504DEE">
      <w:pPr>
        <w:pStyle w:val="Listenabsatz"/>
        <w:numPr>
          <w:ilvl w:val="0"/>
          <w:numId w:val="1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Skrzydło porcjujące obraca się szybciej od ruchu wprowadzanych nasion i jest napędzane przez silnik elektryczny z prędkością obrotową dopasowaną do prędkości systemu rozdzielania.</w:t>
      </w:r>
    </w:p>
    <w:p w14:paraId="77FD7B80" w14:textId="5ED00D70" w:rsidR="00504DEE" w:rsidRPr="00504DEE" w:rsidRDefault="00504DEE" w:rsidP="00504DEE">
      <w:pPr>
        <w:pStyle w:val="Listenabsatz"/>
        <w:numPr>
          <w:ilvl w:val="0"/>
          <w:numId w:val="1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Podczas każdego obrotu skrzydła dozującego ziarna są zbierane w porcje. Powstaje ich kompaktowa porcja.</w:t>
      </w:r>
    </w:p>
    <w:p w14:paraId="7BBC9C70" w14:textId="6EA05E72" w:rsidR="00504DEE" w:rsidRDefault="00504DEE" w:rsidP="00504DEE">
      <w:pPr>
        <w:pStyle w:val="Listenabsatz"/>
        <w:numPr>
          <w:ilvl w:val="0"/>
          <w:numId w:val="1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Ziarna opuszczają zespół porcjowania i są odprowadzane w kierunku redlicy.</w:t>
      </w:r>
    </w:p>
    <w:p w14:paraId="1933E914" w14:textId="77777777" w:rsidR="00504DEE" w:rsidRDefault="00504DEE" w:rsidP="00504DE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F3DB97B" w14:textId="77777777" w:rsidR="00504DEE" w:rsidRDefault="00504DEE" w:rsidP="00504DE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D444C75" w14:textId="023A8E3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B6E7CBE" wp14:editId="77C88948">
            <wp:extent cx="4053600" cy="2880000"/>
            <wp:effectExtent l="0" t="0" r="0" b="3175"/>
            <wp:docPr id="471129603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129603" name="Grafik 47112960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A0250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 jest w pełni zintegrowany z oprogramowaniem ISOBUS siewnika </w:t>
      </w:r>
      <w:proofErr w:type="spellStart"/>
      <w:r>
        <w:rPr>
          <w:rFonts w:ascii="Arial" w:hAnsi="Arial"/>
        </w:rPr>
        <w:t>Precea</w:t>
      </w:r>
      <w:proofErr w:type="spellEnd"/>
      <w:r>
        <w:rPr>
          <w:rFonts w:ascii="Arial" w:hAnsi="Arial"/>
        </w:rPr>
        <w:t xml:space="preserve">. Przełączanie dozowania między rozsiewem punktowym a pasowym odbywa się na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4.</w:t>
      </w:r>
    </w:p>
    <w:p w14:paraId="7E0D19F2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6EB5049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8EBD22" w14:textId="47EC1129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65B2165" wp14:editId="20730661">
            <wp:extent cx="1440000" cy="1440000"/>
            <wp:effectExtent l="0" t="0" r="0" b="0"/>
            <wp:docPr id="655543351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543351" name="Grafik 65554335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7A868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Wideo z pracy </w:t>
      </w:r>
      <w:proofErr w:type="spellStart"/>
      <w:r>
        <w:rPr>
          <w:rFonts w:ascii="Arial" w:hAnsi="Arial"/>
        </w:rPr>
        <w:t>FertiSpot</w:t>
      </w:r>
      <w:proofErr w:type="spellEnd"/>
      <w:r>
        <w:rPr>
          <w:rFonts w:ascii="Arial" w:hAnsi="Arial"/>
        </w:rPr>
        <w:t xml:space="preserve">: </w:t>
      </w:r>
    </w:p>
    <w:p w14:paraId="628970F6" w14:textId="04345543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www.amazone.net/yt-fertispot</w:t>
      </w:r>
    </w:p>
    <w:p w14:paraId="418D5C8A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821472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2647DFA" w14:textId="7DC06E6C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A5929B5" wp14:editId="725776BC">
            <wp:extent cx="6120000" cy="2649600"/>
            <wp:effectExtent l="0" t="0" r="1905" b="5080"/>
            <wp:docPr id="681292969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292969" name="Grafik 68129296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6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F95DD" w14:textId="5FDFDB13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Porcjowane dozowanie nawozu 5 cm obok i 5 cm pod ziarnem kukurydzy. Nawóz jest dozowany tylko tam, gdzie jest bezpośrednio dostępny dla rośliny.</w:t>
      </w:r>
    </w:p>
    <w:p w14:paraId="07C178FE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56BA14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44679C" w14:textId="2BEB1DAF" w:rsidR="00504DEE" w:rsidRDefault="00BD0580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5DE985D" wp14:editId="7B263F2C">
            <wp:extent cx="2880000" cy="2880000"/>
            <wp:effectExtent l="0" t="0" r="3175" b="3175"/>
            <wp:docPr id="159464056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640563" name="Grafik 159464056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D6EBE" w14:textId="25A5916C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Zgodnie z wykresem przy aplikacji punktowej z jednoczesnym ograniczeniem ilości nawozu pod korzeń o 25% uzyskuje się ten sam poziom plonów, co w przypadku tradycyjnej aplikacji pasowej.</w:t>
      </w:r>
    </w:p>
    <w:p w14:paraId="39A83A7F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BEFB3B3" w14:textId="757542EA" w:rsidR="00504DEE" w:rsidRPr="00504DEE" w:rsidRDefault="00BD0580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E94F6E8" wp14:editId="341DED52">
            <wp:extent cx="2880000" cy="2880000"/>
            <wp:effectExtent l="0" t="0" r="3175" b="3175"/>
            <wp:docPr id="56517514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175141" name="Grafik 56517514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BF973" w14:textId="03E9343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Porównanie różnicy przychodów i kosztów zmiennych pomiędzy aplikacją pasową nawozu ze 100% ilości nawozu a aplikacją punktową z 75% ilości nawozu.</w:t>
      </w:r>
    </w:p>
    <w:p w14:paraId="35523488" w14:textId="77777777" w:rsid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BBA7F4" w14:textId="77777777" w:rsidR="00504DEE" w:rsidRPr="00504DEE" w:rsidRDefault="00504DEE" w:rsidP="00504DE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13D630" w14:textId="77777777" w:rsidR="00C46CAE" w:rsidRPr="00F4316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Ilustracje, treść i dane techniczne są niezobowiązujące i mogą odbiegać od rzeczywistego wyposażenia. Zastosuj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7F8944CC" w14:textId="07778477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z siedzibą w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49205, Niemcy, produkuje maszyny rolnicze i komunalne. Zarządzana przez właścicieli firma zatrudnia ponad 2000 osób w dziewięciu różnych zakładach produkcyjnych. Asortyment maszyn rolniczych obejmuje urządzenia do uprawy gleby, siewniki, rozsiewacze nawozów i opryskiwacze polowe. Od 2019 roku firma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należy do Grupy AMAZONE. Z uwagi na swoje doświadczenie firma AMAZONE jest dziś specjalistą w rolnictwie w zakresie „inteligentnej uprawy roślin”. Więcej informacji: </w:t>
      </w:r>
      <w:hyperlink r:id="rId19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014C0C68">
            <wp:extent cx="241300" cy="241300"/>
            <wp:effectExtent l="0" t="0" r="6350" b="6350"/>
            <wp:docPr id="13" name="Grafik 13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45FC761D">
            <wp:extent cx="241300" cy="241300"/>
            <wp:effectExtent l="0" t="0" r="6350" b="6350"/>
            <wp:docPr id="12" name="Grafik 12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DEBB145">
            <wp:extent cx="241300" cy="241300"/>
            <wp:effectExtent l="0" t="0" r="6350" b="6350"/>
            <wp:docPr id="11" name="Grafik 11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7D93E601">
            <wp:extent cx="241300" cy="241300"/>
            <wp:effectExtent l="0" t="0" r="6350" b="6350"/>
            <wp:docPr id="10" name="Grafik 10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130F0D4">
            <wp:extent cx="241300" cy="241300"/>
            <wp:effectExtent l="0" t="0" r="6350" b="6350"/>
            <wp:docPr id="7" name="Grafik 7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E1515E" w14:textId="77777777" w:rsidR="00F63654" w:rsidRDefault="00F63654">
      <w:r>
        <w:separator/>
      </w:r>
    </w:p>
  </w:endnote>
  <w:endnote w:type="continuationSeparator" w:id="0">
    <w:p w14:paraId="63236185" w14:textId="77777777" w:rsidR="00F63654" w:rsidRDefault="00F636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Strona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z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43EB20" w14:textId="77777777" w:rsidR="00F63654" w:rsidRDefault="00F63654">
      <w:r>
        <w:separator/>
      </w:r>
    </w:p>
  </w:footnote>
  <w:footnote w:type="continuationSeparator" w:id="0">
    <w:p w14:paraId="57081F3A" w14:textId="77777777" w:rsidR="00F63654" w:rsidRDefault="00F636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for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B676724"/>
    <w:multiLevelType w:val="hybridMultilevel"/>
    <w:tmpl w:val="2F9E349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FAA1B28">
      <w:numFmt w:val="bullet"/>
      <w:lvlText w:val="–"/>
      <w:lvlJc w:val="left"/>
      <w:pPr>
        <w:ind w:left="1440" w:hanging="360"/>
      </w:pPr>
      <w:rPr>
        <w:rFonts w:ascii="Arial" w:eastAsia="Arial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21501AC"/>
    <w:multiLevelType w:val="hybridMultilevel"/>
    <w:tmpl w:val="7E4CB62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4ACA683F"/>
    <w:multiLevelType w:val="hybridMultilevel"/>
    <w:tmpl w:val="2872ED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D451516"/>
    <w:multiLevelType w:val="hybridMultilevel"/>
    <w:tmpl w:val="2F7C2FA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AF70C0B"/>
    <w:multiLevelType w:val="hybridMultilevel"/>
    <w:tmpl w:val="80F4ABE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8"/>
  </w:num>
  <w:num w:numId="2" w16cid:durableId="1510219160">
    <w:abstractNumId w:val="0"/>
  </w:num>
  <w:num w:numId="3" w16cid:durableId="613364659">
    <w:abstractNumId w:val="5"/>
  </w:num>
  <w:num w:numId="4" w16cid:durableId="1043675452">
    <w:abstractNumId w:val="6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5"/>
  </w:num>
  <w:num w:numId="8" w16cid:durableId="294531490">
    <w:abstractNumId w:val="13"/>
  </w:num>
  <w:num w:numId="9" w16cid:durableId="2071071478">
    <w:abstractNumId w:val="4"/>
  </w:num>
  <w:num w:numId="10" w16cid:durableId="136532471">
    <w:abstractNumId w:val="9"/>
  </w:num>
  <w:num w:numId="11" w16cid:durableId="2055814173">
    <w:abstractNumId w:val="10"/>
  </w:num>
  <w:num w:numId="12" w16cid:durableId="636498599">
    <w:abstractNumId w:val="16"/>
  </w:num>
  <w:num w:numId="13" w16cid:durableId="118423553">
    <w:abstractNumId w:val="17"/>
  </w:num>
  <w:num w:numId="14" w16cid:durableId="829760175">
    <w:abstractNumId w:val="14"/>
  </w:num>
  <w:num w:numId="15" w16cid:durableId="846485430">
    <w:abstractNumId w:val="7"/>
  </w:num>
  <w:num w:numId="16" w16cid:durableId="1319649389">
    <w:abstractNumId w:val="11"/>
  </w:num>
  <w:num w:numId="17" w16cid:durableId="861210839">
    <w:abstractNumId w:val="12"/>
  </w:num>
  <w:num w:numId="18" w16cid:durableId="30921698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5F1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4DEE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334B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1704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51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CA6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058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3654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www.youtube.com/user/amazonede" TargetMode="External"/><Relationship Id="rId39" Type="http://schemas.openxmlformats.org/officeDocument/2006/relationships/header" Target="header3.xml"/><Relationship Id="rId21" Type="http://schemas.openxmlformats.org/officeDocument/2006/relationships/image" Target="media/image12.jpeg"/><Relationship Id="rId34" Type="http://schemas.openxmlformats.org/officeDocument/2006/relationships/image" Target="cid:Xing1_e3730686-2953-47a9-9c47-dbaa518a9207.jpg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s://www.facebook.com/amazone.group" TargetMode="External"/><Relationship Id="rId29" Type="http://schemas.openxmlformats.org/officeDocument/2006/relationships/hyperlink" Target="https://www.linkedin.com/company/amazone-group/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hyperlink" Target="https://www.xing.com/company/amazone" TargetMode="External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instagram.com/amazone_group" TargetMode="External"/><Relationship Id="rId28" Type="http://schemas.openxmlformats.org/officeDocument/2006/relationships/image" Target="cid:YT_e9180d16-5a2b-4618-92e9-22a015f9cafb.jpg" TargetMode="External"/><Relationship Id="rId36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hyperlink" Target="http://www.amazone.de" TargetMode="External"/><Relationship Id="rId31" Type="http://schemas.openxmlformats.org/officeDocument/2006/relationships/image" Target="cid:LinkedIn_80de4e9c-c7a3-41e3-8e11-063f7eace13d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FB_70d43fd1-a841-4de4-bbaa-3e1f495f95d3.jpg" TargetMode="External"/><Relationship Id="rId27" Type="http://schemas.openxmlformats.org/officeDocument/2006/relationships/image" Target="media/image14.jpeg"/><Relationship Id="rId30" Type="http://schemas.openxmlformats.org/officeDocument/2006/relationships/image" Target="media/image15.jpeg"/><Relationship Id="rId35" Type="http://schemas.openxmlformats.org/officeDocument/2006/relationships/header" Target="header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cid:IG_efb650a7-31e4-4674-98db-f2d2d5c58dce.jpg" TargetMode="External"/><Relationship Id="rId33" Type="http://schemas.openxmlformats.org/officeDocument/2006/relationships/image" Target="media/image16.jpeg"/><Relationship Id="rId38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1052</Words>
  <Characters>6631</Characters>
  <Application>Microsoft Office Word</Application>
  <DocSecurity>0</DocSecurity>
  <Lines>55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7668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2023-09-08T07:32:00Z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