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2E6A" w14:textId="386CF38E" w:rsidR="00C46CAE" w:rsidRPr="00231069" w:rsidRDefault="00496488" w:rsidP="00496488">
      <w:pPr>
        <w:spacing w:after="120" w:line="360" w:lineRule="auto"/>
        <w:ind w:left="567" w:right="1695"/>
        <w:rPr>
          <w:rFonts w:ascii="Arial" w:hAnsi="Arial" w:cs="Arial"/>
          <w:b/>
          <w:bCs/>
          <w:sz w:val="28"/>
          <w:szCs w:val="28"/>
        </w:rPr>
      </w:pPr>
      <w:proofErr w:type="spellStart"/>
      <w:r>
        <w:rPr>
          <w:rFonts w:ascii="Arial" w:hAnsi="Arial"/>
          <w:b/>
          <w:sz w:val="28"/>
        </w:rPr>
        <w:t>FertiSpot</w:t>
      </w:r>
      <w:proofErr w:type="spellEnd"/>
      <w:r>
        <w:rPr>
          <w:rFonts w:ascii="Arial" w:hAnsi="Arial"/>
          <w:b/>
          <w:sz w:val="28"/>
        </w:rPr>
        <w:t xml:space="preserve"> для сеялки точного высева </w:t>
      </w:r>
      <w:proofErr w:type="spellStart"/>
      <w:r>
        <w:rPr>
          <w:rFonts w:ascii="Arial" w:hAnsi="Arial"/>
          <w:b/>
          <w:sz w:val="28"/>
        </w:rPr>
        <w:t>Precea</w:t>
      </w:r>
      <w:proofErr w:type="spellEnd"/>
    </w:p>
    <w:p w14:paraId="51714D9B" w14:textId="77777777" w:rsidR="00496488" w:rsidRPr="00496488" w:rsidRDefault="00496488" w:rsidP="00496488">
      <w:pPr>
        <w:spacing w:line="360" w:lineRule="auto"/>
        <w:ind w:left="567" w:right="1695"/>
        <w:rPr>
          <w:rFonts w:ascii="Arial" w:hAnsi="Arial" w:cs="Arial"/>
          <w:b/>
          <w:bCs/>
        </w:rPr>
      </w:pPr>
      <w:r>
        <w:rPr>
          <w:rFonts w:ascii="Arial" w:hAnsi="Arial"/>
          <w:b/>
        </w:rPr>
        <w:t xml:space="preserve">Локальное внесение удобрений: </w:t>
      </w:r>
      <w:proofErr w:type="spellStart"/>
      <w:r>
        <w:rPr>
          <w:rFonts w:ascii="Arial" w:hAnsi="Arial"/>
          <w:b/>
        </w:rPr>
        <w:t>синхронизированно</w:t>
      </w:r>
      <w:proofErr w:type="spellEnd"/>
      <w:r>
        <w:rPr>
          <w:rFonts w:ascii="Arial" w:hAnsi="Arial"/>
          <w:b/>
        </w:rPr>
        <w:t xml:space="preserve"> между семенами и для всех моделей </w:t>
      </w:r>
      <w:proofErr w:type="spellStart"/>
      <w:r>
        <w:rPr>
          <w:rFonts w:ascii="Arial" w:hAnsi="Arial"/>
          <w:b/>
        </w:rPr>
        <w:t>Precea</w:t>
      </w:r>
      <w:proofErr w:type="spellEnd"/>
    </w:p>
    <w:p w14:paraId="65EA582A" w14:textId="77777777" w:rsidR="00161FDD" w:rsidRDefault="00161FDD" w:rsidP="00161FDD">
      <w:pPr>
        <w:spacing w:line="360" w:lineRule="auto"/>
        <w:ind w:left="567" w:right="1695"/>
        <w:rPr>
          <w:rFonts w:ascii="Arial" w:hAnsi="Arial" w:cs="Arial"/>
        </w:rPr>
      </w:pPr>
    </w:p>
    <w:p w14:paraId="7A07821A" w14:textId="77777777" w:rsidR="00496488" w:rsidRDefault="00496488" w:rsidP="00496488">
      <w:pPr>
        <w:spacing w:after="120" w:line="360" w:lineRule="auto"/>
        <w:ind w:left="567" w:right="1695"/>
        <w:rPr>
          <w:rFonts w:ascii="Arial" w:eastAsia="Arial" w:hAnsi="Arial" w:cs="Arial"/>
        </w:rPr>
      </w:pPr>
      <w:r>
        <w:rPr>
          <w:rFonts w:ascii="Arial" w:hAnsi="Arial"/>
        </w:rPr>
        <w:t xml:space="preserve">Система </w:t>
      </w:r>
      <w:proofErr w:type="spellStart"/>
      <w:r>
        <w:rPr>
          <w:rFonts w:ascii="Arial" w:hAnsi="Arial"/>
        </w:rPr>
        <w:t>FertiSpot</w:t>
      </w:r>
      <w:proofErr w:type="spellEnd"/>
      <w:r>
        <w:rPr>
          <w:rFonts w:ascii="Arial" w:hAnsi="Arial"/>
        </w:rPr>
        <w:t xml:space="preserve"> обеспечивает локальное внесение удобрений под семена. В соответствии с законодательными предписаниями по снижению разрешенной нормы внесения удобрений требуется все более эффективное использование удобрений. Это побудило AMAZONE постоянно совершенствовать систему </w:t>
      </w:r>
      <w:proofErr w:type="spellStart"/>
      <w:r>
        <w:rPr>
          <w:rFonts w:ascii="Arial" w:hAnsi="Arial"/>
        </w:rPr>
        <w:t>FertiSpot</w:t>
      </w:r>
      <w:proofErr w:type="spellEnd"/>
      <w:r>
        <w:rPr>
          <w:rFonts w:ascii="Arial" w:hAnsi="Arial"/>
        </w:rPr>
        <w:t xml:space="preserve">. Для презентации на выставке </w:t>
      </w:r>
      <w:proofErr w:type="spellStart"/>
      <w:r>
        <w:rPr>
          <w:rFonts w:ascii="Arial" w:hAnsi="Arial"/>
        </w:rPr>
        <w:t>Agritechnica</w:t>
      </w:r>
      <w:proofErr w:type="spellEnd"/>
      <w:r>
        <w:rPr>
          <w:rFonts w:ascii="Arial" w:hAnsi="Arial"/>
        </w:rPr>
        <w:t xml:space="preserve"> 2023 AMAZONE представляет </w:t>
      </w:r>
      <w:proofErr w:type="spellStart"/>
      <w:r>
        <w:rPr>
          <w:rFonts w:ascii="Arial" w:hAnsi="Arial"/>
        </w:rPr>
        <w:t>FertiSpot</w:t>
      </w:r>
      <w:proofErr w:type="spellEnd"/>
      <w:r>
        <w:rPr>
          <w:rFonts w:ascii="Arial" w:hAnsi="Arial"/>
        </w:rPr>
        <w:t xml:space="preserve"> с дополнительной опцией, предусматривающей размещение порций удобрений </w:t>
      </w:r>
      <w:proofErr w:type="spellStart"/>
      <w:r>
        <w:rPr>
          <w:rFonts w:ascii="Arial" w:hAnsi="Arial"/>
        </w:rPr>
        <w:t>синхронизированно</w:t>
      </w:r>
      <w:proofErr w:type="spellEnd"/>
      <w:r>
        <w:rPr>
          <w:rFonts w:ascii="Arial" w:hAnsi="Arial"/>
        </w:rPr>
        <w:t xml:space="preserve"> между семенами.</w:t>
      </w:r>
    </w:p>
    <w:p w14:paraId="57620368" w14:textId="77777777" w:rsidR="00496488" w:rsidRPr="00496488" w:rsidRDefault="00496488" w:rsidP="00496488">
      <w:pPr>
        <w:spacing w:after="120" w:line="360" w:lineRule="auto"/>
        <w:ind w:left="567" w:right="1695"/>
        <w:rPr>
          <w:rFonts w:ascii="Arial" w:eastAsia="Arial" w:hAnsi="Arial" w:cs="Arial"/>
        </w:rPr>
      </w:pPr>
    </w:p>
    <w:p w14:paraId="0D172B1D" w14:textId="77777777" w:rsidR="00496488" w:rsidRDefault="00496488" w:rsidP="00496488">
      <w:pPr>
        <w:spacing w:after="120" w:line="360" w:lineRule="auto"/>
        <w:ind w:left="567" w:right="1695"/>
        <w:rPr>
          <w:rFonts w:ascii="Arial" w:eastAsia="Arial" w:hAnsi="Arial" w:cs="Arial"/>
        </w:rPr>
      </w:pPr>
      <w:r>
        <w:rPr>
          <w:rFonts w:ascii="Arial" w:hAnsi="Arial"/>
        </w:rPr>
        <w:t xml:space="preserve">В 2019 году AMAZONE представила систему </w:t>
      </w:r>
      <w:proofErr w:type="spellStart"/>
      <w:r>
        <w:rPr>
          <w:rFonts w:ascii="Arial" w:hAnsi="Arial"/>
        </w:rPr>
        <w:t>FertiSpot</w:t>
      </w:r>
      <w:proofErr w:type="spellEnd"/>
      <w:r>
        <w:rPr>
          <w:rFonts w:ascii="Arial" w:hAnsi="Arial"/>
        </w:rPr>
        <w:t xml:space="preserve"> с укладкой удобрений под растения. Система максимально эффективно использует удобрения, прежде всего, при посеве кукурузы. Из-за распространения точного высева и на другие культуры AMAZONE усовершенствовала также систему </w:t>
      </w:r>
      <w:proofErr w:type="spellStart"/>
      <w:r>
        <w:rPr>
          <w:rFonts w:ascii="Arial" w:hAnsi="Arial"/>
        </w:rPr>
        <w:t>FertiSpot</w:t>
      </w:r>
      <w:proofErr w:type="spellEnd"/>
      <w:r>
        <w:rPr>
          <w:rFonts w:ascii="Arial" w:hAnsi="Arial"/>
        </w:rPr>
        <w:t xml:space="preserve">. С новой разработкой, при которой порция удобрений размещается </w:t>
      </w:r>
      <w:proofErr w:type="spellStart"/>
      <w:r>
        <w:rPr>
          <w:rFonts w:ascii="Arial" w:hAnsi="Arial"/>
        </w:rPr>
        <w:t>синхронизированно</w:t>
      </w:r>
      <w:proofErr w:type="spellEnd"/>
      <w:r>
        <w:rPr>
          <w:rFonts w:ascii="Arial" w:hAnsi="Arial"/>
        </w:rPr>
        <w:t xml:space="preserve"> между семенами, система позволяет использовать высокие концентрации удобрений при одновременной защите от ожогов чувствительных культур. Прежде всего, это дает преимущества на таких культурах, как сахарная свекла. Именно при очень сухих почвенных условиях внесение между семенами обеспечивает преимущества для всех культур. При внесении удобрений слишком близко к семенам они отбирают у растений необходимую влажность, семена могут пересохнуть или недополучить достаточное количество воды.</w:t>
      </w:r>
    </w:p>
    <w:p w14:paraId="66641230" w14:textId="77777777" w:rsidR="00496488" w:rsidRPr="00496488" w:rsidRDefault="00496488" w:rsidP="00496488">
      <w:pPr>
        <w:spacing w:after="120" w:line="360" w:lineRule="auto"/>
        <w:ind w:left="567" w:right="1695"/>
        <w:rPr>
          <w:rFonts w:ascii="Arial" w:eastAsia="Arial" w:hAnsi="Arial" w:cs="Arial"/>
        </w:rPr>
      </w:pPr>
    </w:p>
    <w:p w14:paraId="4CDDC130" w14:textId="77777777" w:rsidR="00496488" w:rsidRPr="00496488" w:rsidRDefault="00496488" w:rsidP="00496488">
      <w:pPr>
        <w:spacing w:after="120" w:line="360" w:lineRule="auto"/>
        <w:ind w:left="567" w:right="1695"/>
        <w:rPr>
          <w:rFonts w:ascii="Arial" w:eastAsia="Arial" w:hAnsi="Arial" w:cs="Arial"/>
          <w:b/>
          <w:bCs/>
        </w:rPr>
      </w:pPr>
      <w:r>
        <w:rPr>
          <w:rFonts w:ascii="Arial" w:hAnsi="Arial"/>
          <w:b/>
        </w:rPr>
        <w:t xml:space="preserve">Структура </w:t>
      </w:r>
      <w:proofErr w:type="spellStart"/>
      <w:r>
        <w:rPr>
          <w:rFonts w:ascii="Arial" w:hAnsi="Arial"/>
          <w:b/>
        </w:rPr>
        <w:t>FertiSpot</w:t>
      </w:r>
      <w:proofErr w:type="spellEnd"/>
      <w:r>
        <w:rPr>
          <w:rFonts w:ascii="Arial" w:hAnsi="Arial"/>
          <w:b/>
        </w:rPr>
        <w:t xml:space="preserve"> с гранулированными удобрениями</w:t>
      </w:r>
    </w:p>
    <w:p w14:paraId="72493D7A" w14:textId="77777777" w:rsidR="00496488" w:rsidRDefault="00496488" w:rsidP="00496488">
      <w:pPr>
        <w:spacing w:after="120" w:line="360" w:lineRule="auto"/>
        <w:ind w:left="567" w:right="1695"/>
        <w:rPr>
          <w:rFonts w:ascii="Arial" w:eastAsia="Arial" w:hAnsi="Arial" w:cs="Arial"/>
        </w:rPr>
      </w:pPr>
      <w:r>
        <w:rPr>
          <w:rFonts w:ascii="Arial" w:hAnsi="Arial"/>
        </w:rPr>
        <w:t xml:space="preserve">Сеялка точного высева </w:t>
      </w:r>
      <w:proofErr w:type="spellStart"/>
      <w:r>
        <w:rPr>
          <w:rFonts w:ascii="Arial" w:hAnsi="Arial"/>
        </w:rPr>
        <w:t>Precea</w:t>
      </w:r>
      <w:proofErr w:type="spellEnd"/>
      <w:r>
        <w:rPr>
          <w:rFonts w:ascii="Arial" w:hAnsi="Arial"/>
        </w:rPr>
        <w:t xml:space="preserve"> с </w:t>
      </w:r>
      <w:proofErr w:type="spellStart"/>
      <w:r>
        <w:rPr>
          <w:rFonts w:ascii="Arial" w:hAnsi="Arial"/>
        </w:rPr>
        <w:t>FertiSpot</w:t>
      </w:r>
      <w:proofErr w:type="spellEnd"/>
      <w:r>
        <w:rPr>
          <w:rFonts w:ascii="Arial" w:hAnsi="Arial"/>
        </w:rPr>
        <w:t xml:space="preserve"> для гранулированных удобрений, как и классическая сеялка точного высева, имеет бункер для удобрений с дозирующим устройством. Дозирование регулирует </w:t>
      </w:r>
      <w:r>
        <w:rPr>
          <w:rFonts w:ascii="Arial" w:hAnsi="Arial"/>
        </w:rPr>
        <w:lastRenderedPageBreak/>
        <w:t xml:space="preserve">требуемую норму внесения на гектар. Ее можно сформировать также с помощью аппликационных карт. В сочетании с включением отдельных рядов для удобрений дозирующее устройство можно отключить через </w:t>
      </w:r>
      <w:proofErr w:type="spellStart"/>
      <w:r>
        <w:rPr>
          <w:rFonts w:ascii="Arial" w:hAnsi="Arial"/>
        </w:rPr>
        <w:t>Section</w:t>
      </w:r>
      <w:proofErr w:type="spellEnd"/>
      <w:r>
        <w:rPr>
          <w:rFonts w:ascii="Arial" w:hAnsi="Arial"/>
        </w:rPr>
        <w:t xml:space="preserve"> Control на клиньях и наклонных разворотных полосах для каждого ряда. От дозирующего устройства минеральные удобрения попадают в порционный дозатор </w:t>
      </w:r>
      <w:proofErr w:type="spellStart"/>
      <w:r>
        <w:rPr>
          <w:rFonts w:ascii="Arial" w:hAnsi="Arial"/>
        </w:rPr>
        <w:t>FertiSpot</w:t>
      </w:r>
      <w:proofErr w:type="spellEnd"/>
      <w:r>
        <w:rPr>
          <w:rFonts w:ascii="Arial" w:hAnsi="Arial"/>
        </w:rPr>
        <w:t xml:space="preserve">. Постоянный поток удобрений, поступающих в порционный дозатор, подается посредством быстровращающейся лопасти порционного дозатора, порционно покидает его и порционно попадает на сошник для удобрений. Регулировка порционного дозатора и выброс семян осуществляется синхронно. Настройка проводится с помощью ISOBUS-регулировки </w:t>
      </w:r>
      <w:proofErr w:type="spellStart"/>
      <w:r>
        <w:rPr>
          <w:rFonts w:ascii="Arial" w:hAnsi="Arial"/>
        </w:rPr>
        <w:t>Precea</w:t>
      </w:r>
      <w:proofErr w:type="spellEnd"/>
      <w:r>
        <w:rPr>
          <w:rFonts w:ascii="Arial" w:hAnsi="Arial"/>
        </w:rPr>
        <w:t xml:space="preserve">. За счет усовершенствования </w:t>
      </w:r>
      <w:proofErr w:type="spellStart"/>
      <w:r>
        <w:rPr>
          <w:rFonts w:ascii="Arial" w:hAnsi="Arial"/>
        </w:rPr>
        <w:t>FertiSpot</w:t>
      </w:r>
      <w:proofErr w:type="spellEnd"/>
      <w:r>
        <w:rPr>
          <w:rFonts w:ascii="Arial" w:hAnsi="Arial"/>
        </w:rPr>
        <w:t xml:space="preserve"> удобрения могут подаваться порционно, непосредственно под растения, а также порционно между семенами. С помощью ISOBUS-регулировки механизатор может точечно указать место введения удобрений. На усовершенствованном дозаторе </w:t>
      </w:r>
      <w:proofErr w:type="spellStart"/>
      <w:r>
        <w:rPr>
          <w:rFonts w:ascii="Arial" w:hAnsi="Arial"/>
        </w:rPr>
        <w:t>FertiSpot</w:t>
      </w:r>
      <w:proofErr w:type="spellEnd"/>
      <w:r>
        <w:rPr>
          <w:rFonts w:ascii="Arial" w:hAnsi="Arial"/>
        </w:rPr>
        <w:t xml:space="preserve"> депо удобрений можно сместить. С помощью ISOBUS-регулировки механизатор может ввести точное место внесения удобрений – под семенем или со смещением, между двумя семенами. Кроме того, с </w:t>
      </w:r>
      <w:proofErr w:type="spellStart"/>
      <w:r>
        <w:rPr>
          <w:rFonts w:ascii="Arial" w:hAnsi="Arial"/>
        </w:rPr>
        <w:t>FertiSpot</w:t>
      </w:r>
      <w:proofErr w:type="spellEnd"/>
      <w:r>
        <w:rPr>
          <w:rFonts w:ascii="Arial" w:hAnsi="Arial"/>
        </w:rPr>
        <w:t xml:space="preserve"> можно реализовать также ленточную обработку. Специальная конструкция позволяет в зависимости от спецификации машины применять нормы внесения удобрений 250 кг на гектар, независимо от сорта удобрений.</w:t>
      </w:r>
    </w:p>
    <w:p w14:paraId="1F0014EA" w14:textId="77777777" w:rsidR="00496488" w:rsidRPr="00496488" w:rsidRDefault="00496488" w:rsidP="00496488">
      <w:pPr>
        <w:spacing w:after="120" w:line="360" w:lineRule="auto"/>
        <w:ind w:left="567" w:right="1695"/>
        <w:rPr>
          <w:rFonts w:ascii="Arial" w:eastAsia="Arial" w:hAnsi="Arial" w:cs="Arial"/>
        </w:rPr>
      </w:pPr>
    </w:p>
    <w:p w14:paraId="7EC878DD" w14:textId="77777777" w:rsidR="00496488" w:rsidRPr="00496488" w:rsidRDefault="00496488" w:rsidP="00496488">
      <w:pPr>
        <w:spacing w:after="120" w:line="360" w:lineRule="auto"/>
        <w:ind w:left="567" w:right="1695"/>
        <w:rPr>
          <w:rFonts w:ascii="Arial" w:eastAsia="Arial" w:hAnsi="Arial" w:cs="Arial"/>
          <w:b/>
          <w:bCs/>
        </w:rPr>
      </w:pPr>
      <w:r>
        <w:rPr>
          <w:rFonts w:ascii="Arial" w:hAnsi="Arial"/>
          <w:b/>
        </w:rPr>
        <w:t>Оптимальное использование удобрений растениями</w:t>
      </w:r>
    </w:p>
    <w:p w14:paraId="6BD1A6C0" w14:textId="77777777" w:rsidR="00496488" w:rsidRDefault="00496488" w:rsidP="00496488">
      <w:pPr>
        <w:spacing w:after="120" w:line="360" w:lineRule="auto"/>
        <w:ind w:left="567" w:right="1695"/>
        <w:rPr>
          <w:rFonts w:ascii="Arial" w:eastAsia="Arial" w:hAnsi="Arial" w:cs="Arial"/>
        </w:rPr>
      </w:pPr>
      <w:r>
        <w:rPr>
          <w:rFonts w:ascii="Arial" w:hAnsi="Arial"/>
        </w:rPr>
        <w:t>Прицельное размещение удобрений в зоне укладки посевного материала ведет к существенно лучшему усвоению питательных веществ, поскольку доступность для растений повышается. Более высокая доступность за счет точечной обработки позволяет снизить общий расход удобрений на гектар. Так, согласно результатам исследований, проводимых Техническим университетом прикладных наук Кёльна, можно прогнозировать экономию удобрений в размере 25 % при равной урожайности.</w:t>
      </w:r>
    </w:p>
    <w:p w14:paraId="686A606B" w14:textId="77777777" w:rsidR="00496488" w:rsidRPr="00496488" w:rsidRDefault="00496488" w:rsidP="00496488">
      <w:pPr>
        <w:spacing w:after="120" w:line="360" w:lineRule="auto"/>
        <w:ind w:left="567" w:right="1695"/>
        <w:rPr>
          <w:rFonts w:ascii="Arial" w:eastAsia="Arial" w:hAnsi="Arial" w:cs="Arial"/>
        </w:rPr>
      </w:pPr>
    </w:p>
    <w:p w14:paraId="64F70650" w14:textId="77777777" w:rsidR="00496488" w:rsidRDefault="00496488" w:rsidP="00496488">
      <w:pPr>
        <w:spacing w:after="120" w:line="360" w:lineRule="auto"/>
        <w:ind w:left="567" w:right="1695"/>
        <w:rPr>
          <w:rFonts w:ascii="Arial" w:eastAsia="Arial" w:hAnsi="Arial" w:cs="Arial"/>
        </w:rPr>
      </w:pPr>
      <w:r>
        <w:rPr>
          <w:rFonts w:ascii="Arial" w:hAnsi="Arial"/>
        </w:rPr>
        <w:lastRenderedPageBreak/>
        <w:t>Наряду с положительным эффектом для окружающей среды, проявляются преимущества для экономики производства и труда. Помимо непосредственного снижения издержек за счет уменьшения расхода удобрений на гектар, дополнительно фиксируется экономия за счет более высокой производительности при посеве, благодаря меньшим на 25 % паузам во время заполнения. В регионах с развитым молочным животноводством экономия минеральных удобрений позволяет лучше использовать внутрихозяйственные удобрения.</w:t>
      </w:r>
    </w:p>
    <w:p w14:paraId="65A56E9C" w14:textId="77777777" w:rsidR="00496488" w:rsidRPr="00496488" w:rsidRDefault="00496488" w:rsidP="00496488">
      <w:pPr>
        <w:spacing w:after="120" w:line="360" w:lineRule="auto"/>
        <w:ind w:left="567" w:right="1695"/>
        <w:rPr>
          <w:rFonts w:ascii="Arial" w:eastAsia="Arial" w:hAnsi="Arial" w:cs="Arial"/>
        </w:rPr>
      </w:pPr>
    </w:p>
    <w:p w14:paraId="73BA20EC" w14:textId="77777777" w:rsidR="00496488" w:rsidRDefault="00496488" w:rsidP="00496488">
      <w:pPr>
        <w:spacing w:after="120" w:line="360" w:lineRule="auto"/>
        <w:ind w:left="567" w:right="1695"/>
        <w:rPr>
          <w:rFonts w:ascii="Arial" w:eastAsia="Arial" w:hAnsi="Arial" w:cs="Arial"/>
        </w:rPr>
      </w:pPr>
      <w:r>
        <w:rPr>
          <w:rFonts w:ascii="Arial" w:hAnsi="Arial"/>
        </w:rPr>
        <w:t>Высокая экономия удобрений не только обеспечивает фермеру значительный прирост урожайности, но и позволяет подрядным организациям экономить время и деньги, поскольку за счет сокращения остановок для заполнения удобрений повышается эффективность работы. Сокращение расхода удобрений и их эффективное использование идет на пользу также окружающей среде.</w:t>
      </w:r>
    </w:p>
    <w:p w14:paraId="5F6B704E" w14:textId="77777777" w:rsidR="00496488" w:rsidRPr="00496488" w:rsidRDefault="00496488" w:rsidP="00496488">
      <w:pPr>
        <w:spacing w:after="120" w:line="360" w:lineRule="auto"/>
        <w:ind w:left="567" w:right="1695"/>
        <w:rPr>
          <w:rFonts w:ascii="Arial" w:eastAsia="Arial" w:hAnsi="Arial" w:cs="Arial"/>
        </w:rPr>
      </w:pPr>
    </w:p>
    <w:p w14:paraId="1C6ACD29" w14:textId="468DF339" w:rsidR="00161FDD" w:rsidRDefault="00496488" w:rsidP="00496488">
      <w:pPr>
        <w:spacing w:after="120" w:line="360" w:lineRule="auto"/>
        <w:ind w:left="567" w:right="1695"/>
        <w:rPr>
          <w:rFonts w:ascii="Arial" w:eastAsia="Arial" w:hAnsi="Arial" w:cs="Arial"/>
        </w:rPr>
      </w:pPr>
      <w:r>
        <w:rPr>
          <w:rFonts w:ascii="Arial" w:hAnsi="Arial"/>
        </w:rPr>
        <w:t xml:space="preserve">Совершенствование системы </w:t>
      </w:r>
      <w:proofErr w:type="spellStart"/>
      <w:r>
        <w:rPr>
          <w:rFonts w:ascii="Arial" w:hAnsi="Arial"/>
        </w:rPr>
        <w:t>FertiSpot</w:t>
      </w:r>
      <w:proofErr w:type="spellEnd"/>
      <w:r>
        <w:rPr>
          <w:rFonts w:ascii="Arial" w:hAnsi="Arial"/>
        </w:rPr>
        <w:t xml:space="preserve"> позволяет применять ее на различных культурах. За счет вариабельной обработки между семенами удобрения могут размещаться в качестве депо также на чувствительных культурах. Такие культуры, как рапс или сахарная свекла, чувствительные к удобрениям, можно оптимально обрабатывать с меньшей нормой внесения удобрений.</w:t>
      </w:r>
    </w:p>
    <w:p w14:paraId="055346D6" w14:textId="77777777" w:rsidR="009477A9" w:rsidRDefault="009477A9" w:rsidP="00161FDD">
      <w:pPr>
        <w:spacing w:after="120" w:line="360" w:lineRule="auto"/>
        <w:ind w:left="567" w:right="1695"/>
        <w:rPr>
          <w:rFonts w:ascii="Arial" w:eastAsia="Arial" w:hAnsi="Arial" w:cs="Arial"/>
        </w:rPr>
      </w:pPr>
    </w:p>
    <w:p w14:paraId="6855F60C" w14:textId="77777777" w:rsidR="00496488" w:rsidRDefault="00496488"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EA33BFC" w14:textId="70F0AD98" w:rsidR="00496488" w:rsidRPr="009B1704" w:rsidRDefault="00496488" w:rsidP="009B1704">
      <w:pPr>
        <w:pStyle w:val="Listenabsatz"/>
        <w:numPr>
          <w:ilvl w:val="0"/>
          <w:numId w:val="17"/>
        </w:numPr>
        <w:spacing w:after="120" w:line="360" w:lineRule="auto"/>
        <w:ind w:right="1695"/>
        <w:rPr>
          <w:rFonts w:ascii="Arial" w:eastAsia="Arial" w:hAnsi="Arial" w:cs="Arial"/>
        </w:rPr>
      </w:pPr>
      <w:r>
        <w:rPr>
          <w:rFonts w:ascii="Arial" w:hAnsi="Arial"/>
        </w:rPr>
        <w:t>Позволяет существенно снизить норму внесения удобрений и сберечь окружающую среду</w:t>
      </w:r>
    </w:p>
    <w:p w14:paraId="7740E68B" w14:textId="36469809" w:rsidR="00496488" w:rsidRPr="009B1704" w:rsidRDefault="00496488" w:rsidP="009B1704">
      <w:pPr>
        <w:pStyle w:val="Listenabsatz"/>
        <w:numPr>
          <w:ilvl w:val="0"/>
          <w:numId w:val="17"/>
        </w:numPr>
        <w:spacing w:after="120" w:line="360" w:lineRule="auto"/>
        <w:ind w:right="1695"/>
        <w:rPr>
          <w:rFonts w:ascii="Arial" w:eastAsia="Arial" w:hAnsi="Arial" w:cs="Arial"/>
        </w:rPr>
      </w:pPr>
      <w:r>
        <w:rPr>
          <w:rFonts w:ascii="Arial" w:hAnsi="Arial"/>
        </w:rPr>
        <w:lastRenderedPageBreak/>
        <w:t>Преимущества сниженной нормы внесения удобрений:</w:t>
      </w:r>
    </w:p>
    <w:p w14:paraId="0FD964F3" w14:textId="547AD6BB" w:rsidR="00496488" w:rsidRPr="009B1704" w:rsidRDefault="00496488" w:rsidP="009B1704">
      <w:pPr>
        <w:pStyle w:val="Listenabsatz"/>
        <w:numPr>
          <w:ilvl w:val="1"/>
          <w:numId w:val="18"/>
        </w:numPr>
        <w:spacing w:after="120" w:line="360" w:lineRule="auto"/>
        <w:ind w:right="1695"/>
        <w:rPr>
          <w:rFonts w:ascii="Arial" w:eastAsia="Arial" w:hAnsi="Arial" w:cs="Arial"/>
        </w:rPr>
      </w:pPr>
      <w:r>
        <w:rPr>
          <w:rFonts w:ascii="Arial" w:hAnsi="Arial"/>
        </w:rPr>
        <w:t>Фермер: более низкие затраты на удобрения</w:t>
      </w:r>
    </w:p>
    <w:p w14:paraId="1F8FF45A" w14:textId="1D7B5311" w:rsidR="00161FDD" w:rsidRPr="009B1704" w:rsidRDefault="00496488" w:rsidP="009B1704">
      <w:pPr>
        <w:pStyle w:val="Listenabsatz"/>
        <w:numPr>
          <w:ilvl w:val="1"/>
          <w:numId w:val="18"/>
        </w:numPr>
        <w:spacing w:after="120" w:line="360" w:lineRule="auto"/>
        <w:ind w:right="1695"/>
        <w:rPr>
          <w:rFonts w:ascii="Arial" w:eastAsia="Arial" w:hAnsi="Arial" w:cs="Arial"/>
          <w:noProof/>
        </w:rPr>
      </w:pPr>
      <w:r>
        <w:rPr>
          <w:rFonts w:ascii="Arial" w:hAnsi="Arial"/>
        </w:rPr>
        <w:t>Подрядчик: более высокая эффективность, за счет сокращения времени на подготовительные работы</w:t>
      </w:r>
    </w:p>
    <w:p w14:paraId="33A19A94" w14:textId="77777777" w:rsidR="00C46CAE" w:rsidRDefault="00C46CAE" w:rsidP="00161FDD">
      <w:pPr>
        <w:spacing w:after="120" w:line="360" w:lineRule="auto"/>
        <w:ind w:left="567" w:right="1695"/>
        <w:rPr>
          <w:rFonts w:ascii="Arial" w:eastAsia="Arial" w:hAnsi="Arial" w:cs="Arial"/>
          <w:noProof/>
        </w:rPr>
      </w:pPr>
    </w:p>
    <w:p w14:paraId="7C5B29AD" w14:textId="77777777" w:rsidR="00161FDD" w:rsidRDefault="00161FDD" w:rsidP="00161FDD">
      <w:pPr>
        <w:spacing w:after="120" w:line="360" w:lineRule="auto"/>
        <w:ind w:left="567" w:right="1695"/>
        <w:rPr>
          <w:rFonts w:ascii="Arial" w:eastAsia="Arial" w:hAnsi="Arial" w:cs="Arial"/>
        </w:rPr>
      </w:pPr>
    </w:p>
    <w:p w14:paraId="0BB2E8B6" w14:textId="0D34D093" w:rsidR="00496488" w:rsidRDefault="00504DEE" w:rsidP="00161FDD">
      <w:pPr>
        <w:spacing w:after="120" w:line="360" w:lineRule="auto"/>
        <w:ind w:left="567" w:right="1695"/>
        <w:rPr>
          <w:rFonts w:ascii="Arial" w:eastAsia="Arial" w:hAnsi="Arial" w:cs="Arial"/>
        </w:rPr>
      </w:pPr>
      <w:r>
        <w:rPr>
          <w:rFonts w:ascii="Arial" w:hAnsi="Arial"/>
          <w:noProof/>
        </w:rPr>
        <w:drawing>
          <wp:inline distT="0" distB="0" distL="0" distR="0" wp14:anchorId="3E323F44" wp14:editId="593A66A8">
            <wp:extent cx="3477600" cy="2880000"/>
            <wp:effectExtent l="0" t="0" r="2540" b="3175"/>
            <wp:docPr id="1573595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595657" name="Grafik 157359565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8E7D047" w14:textId="383E6543"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 xml:space="preserve"> 6000-2FCC с дозирующим устройством </w:t>
      </w:r>
      <w:proofErr w:type="spellStart"/>
      <w:r>
        <w:rPr>
          <w:rFonts w:ascii="Arial" w:hAnsi="Arial"/>
        </w:rPr>
        <w:t>FertiSpot</w:t>
      </w:r>
      <w:proofErr w:type="spellEnd"/>
      <w:r>
        <w:rPr>
          <w:rFonts w:ascii="Arial" w:hAnsi="Arial"/>
        </w:rPr>
        <w:t xml:space="preserve"> для порционной подачи удобрений. Удобрения из фронтального бункера </w:t>
      </w:r>
      <w:proofErr w:type="spellStart"/>
      <w:r>
        <w:rPr>
          <w:rFonts w:ascii="Arial" w:hAnsi="Arial"/>
        </w:rPr>
        <w:t>FTender</w:t>
      </w:r>
      <w:proofErr w:type="spellEnd"/>
      <w:r>
        <w:rPr>
          <w:rFonts w:ascii="Arial" w:hAnsi="Arial"/>
        </w:rPr>
        <w:t xml:space="preserve"> 2200 подаются по трубкам в заднюю часть машины и там порционно дозируются.</w:t>
      </w:r>
    </w:p>
    <w:p w14:paraId="66445704" w14:textId="77777777" w:rsidR="00504DEE" w:rsidRDefault="00504DEE" w:rsidP="00161FDD">
      <w:pPr>
        <w:spacing w:after="120" w:line="360" w:lineRule="auto"/>
        <w:ind w:left="567" w:right="1695"/>
        <w:rPr>
          <w:rFonts w:ascii="Arial" w:eastAsia="Arial" w:hAnsi="Arial" w:cs="Arial"/>
        </w:rPr>
      </w:pPr>
    </w:p>
    <w:p w14:paraId="6E436670" w14:textId="3BDF1556" w:rsidR="00504DEE" w:rsidRDefault="00504DE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8424DF8" wp14:editId="5527216E">
            <wp:extent cx="1684800" cy="2880000"/>
            <wp:effectExtent l="0" t="0" r="4445" b="3175"/>
            <wp:docPr id="184406830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068303" name="Grafik 184406830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84800" cy="2880000"/>
                    </a:xfrm>
                    <a:prstGeom prst="rect">
                      <a:avLst/>
                    </a:prstGeom>
                  </pic:spPr>
                </pic:pic>
              </a:graphicData>
            </a:graphic>
          </wp:inline>
        </w:drawing>
      </w:r>
    </w:p>
    <w:p w14:paraId="3E2B4621" w14:textId="77777777" w:rsidR="00504DEE" w:rsidRPr="00504DEE" w:rsidRDefault="00504DEE" w:rsidP="00504DEE">
      <w:pPr>
        <w:spacing w:after="120" w:line="360" w:lineRule="auto"/>
        <w:ind w:left="567" w:right="1695"/>
        <w:rPr>
          <w:rFonts w:ascii="Arial" w:eastAsia="Arial" w:hAnsi="Arial" w:cs="Arial"/>
          <w:b/>
          <w:bCs/>
        </w:rPr>
      </w:pPr>
      <w:r>
        <w:rPr>
          <w:rFonts w:ascii="Arial" w:hAnsi="Arial"/>
          <w:b/>
        </w:rPr>
        <w:t xml:space="preserve">Структура системы </w:t>
      </w:r>
      <w:proofErr w:type="spellStart"/>
      <w:r>
        <w:rPr>
          <w:rFonts w:ascii="Arial" w:hAnsi="Arial"/>
          <w:b/>
        </w:rPr>
        <w:t>FertiSpot</w:t>
      </w:r>
      <w:proofErr w:type="spellEnd"/>
      <w:r>
        <w:rPr>
          <w:rFonts w:ascii="Arial" w:hAnsi="Arial"/>
          <w:b/>
        </w:rPr>
        <w:t xml:space="preserve"> – В совокупности</w:t>
      </w:r>
    </w:p>
    <w:p w14:paraId="1D2E4405" w14:textId="043BAA15"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 xml:space="preserve">Бункер для удобрений: </w:t>
      </w:r>
      <w:r>
        <w:rPr>
          <w:rFonts w:ascii="Arial" w:hAnsi="Arial"/>
        </w:rPr>
        <w:t>запас удобрений для подкормки</w:t>
      </w:r>
    </w:p>
    <w:p w14:paraId="12F43A1A" w14:textId="7FF8969B"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Дозатор:</w:t>
      </w:r>
      <w:r>
        <w:rPr>
          <w:rFonts w:ascii="Arial" w:hAnsi="Arial"/>
        </w:rPr>
        <w:t xml:space="preserve"> дозирование количества удобрений</w:t>
      </w:r>
    </w:p>
    <w:p w14:paraId="3E65B975" w14:textId="7EB6B43D"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Порционный дозатор:</w:t>
      </w:r>
      <w:r>
        <w:rPr>
          <w:rFonts w:ascii="Arial" w:hAnsi="Arial"/>
        </w:rPr>
        <w:t xml:space="preserve"> </w:t>
      </w:r>
      <w:proofErr w:type="spellStart"/>
      <w:r>
        <w:rPr>
          <w:rFonts w:ascii="Arial" w:hAnsi="Arial"/>
        </w:rPr>
        <w:t>порционирование</w:t>
      </w:r>
      <w:proofErr w:type="spellEnd"/>
      <w:r>
        <w:rPr>
          <w:rFonts w:ascii="Arial" w:hAnsi="Arial"/>
        </w:rPr>
        <w:t xml:space="preserve"> удобрений</w:t>
      </w:r>
    </w:p>
    <w:p w14:paraId="63CF0FF3" w14:textId="422D72C9" w:rsidR="00504DEE" w:rsidRPr="00504DEE" w:rsidRDefault="00504DEE" w:rsidP="00504DEE">
      <w:pPr>
        <w:pStyle w:val="Listenabsatz"/>
        <w:numPr>
          <w:ilvl w:val="0"/>
          <w:numId w:val="14"/>
        </w:numPr>
        <w:spacing w:after="120" w:line="360" w:lineRule="auto"/>
        <w:ind w:right="1695"/>
        <w:rPr>
          <w:rFonts w:ascii="Arial" w:eastAsia="Arial" w:hAnsi="Arial" w:cs="Arial"/>
        </w:rPr>
      </w:pPr>
      <w:r>
        <w:rPr>
          <w:rFonts w:ascii="Arial" w:hAnsi="Arial"/>
          <w:b/>
        </w:rPr>
        <w:t>Сошник для удобрений:</w:t>
      </w:r>
      <w:r>
        <w:rPr>
          <w:rFonts w:ascii="Arial" w:hAnsi="Arial"/>
        </w:rPr>
        <w:t xml:space="preserve"> внесение в почву</w:t>
      </w:r>
    </w:p>
    <w:p w14:paraId="3CFBFA4C" w14:textId="1CC0B06A" w:rsidR="00504DEE" w:rsidRDefault="00504DEE" w:rsidP="00161FDD">
      <w:pPr>
        <w:spacing w:after="120" w:line="360" w:lineRule="auto"/>
        <w:ind w:left="567" w:right="1695"/>
        <w:rPr>
          <w:rFonts w:ascii="Arial" w:eastAsia="Arial" w:hAnsi="Arial" w:cs="Arial"/>
        </w:rPr>
      </w:pPr>
      <w:r>
        <w:rPr>
          <w:rFonts w:ascii="Arial" w:hAnsi="Arial"/>
          <w:noProof/>
        </w:rPr>
        <w:drawing>
          <wp:inline distT="0" distB="0" distL="0" distR="0" wp14:anchorId="273C8D41" wp14:editId="0AF0DBA6">
            <wp:extent cx="5155200" cy="2880000"/>
            <wp:effectExtent l="0" t="0" r="1270" b="3175"/>
            <wp:docPr id="169854497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544977" name="Grafik 16985449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55200" cy="2880000"/>
                    </a:xfrm>
                    <a:prstGeom prst="rect">
                      <a:avLst/>
                    </a:prstGeom>
                  </pic:spPr>
                </pic:pic>
              </a:graphicData>
            </a:graphic>
          </wp:inline>
        </w:drawing>
      </w:r>
    </w:p>
    <w:p w14:paraId="069791AC" w14:textId="77777777"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удобрения под растениями</w:t>
      </w:r>
    </w:p>
    <w:p w14:paraId="19BBE4B8" w14:textId="77777777" w:rsidR="00504DEE" w:rsidRDefault="00504DEE" w:rsidP="00161FDD">
      <w:pPr>
        <w:spacing w:after="120" w:line="360" w:lineRule="auto"/>
        <w:ind w:left="567" w:right="1695"/>
        <w:rPr>
          <w:rFonts w:ascii="Arial" w:eastAsia="Arial" w:hAnsi="Arial" w:cs="Arial"/>
        </w:rPr>
      </w:pPr>
    </w:p>
    <w:p w14:paraId="1E6FF19A" w14:textId="77777777" w:rsidR="00504DEE" w:rsidRDefault="00504DEE" w:rsidP="00161FDD">
      <w:pPr>
        <w:spacing w:after="120" w:line="360" w:lineRule="auto"/>
        <w:ind w:left="567" w:right="1695"/>
        <w:rPr>
          <w:rFonts w:ascii="Arial" w:eastAsia="Arial" w:hAnsi="Arial" w:cs="Arial"/>
        </w:rPr>
      </w:pPr>
    </w:p>
    <w:p w14:paraId="209CE33A" w14:textId="0A46D2C7" w:rsidR="00504DEE" w:rsidRDefault="00504DEE"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A10C8E0" wp14:editId="4ABB3519">
            <wp:extent cx="5187600" cy="2880000"/>
            <wp:effectExtent l="0" t="0" r="0" b="3175"/>
            <wp:docPr id="164706515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065159" name="Grafik 16470651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87600" cy="2880000"/>
                    </a:xfrm>
                    <a:prstGeom prst="rect">
                      <a:avLst/>
                    </a:prstGeom>
                  </pic:spPr>
                </pic:pic>
              </a:graphicData>
            </a:graphic>
          </wp:inline>
        </w:drawing>
      </w:r>
    </w:p>
    <w:p w14:paraId="634CDEA3" w14:textId="77777777"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удобрения между растениями</w:t>
      </w:r>
    </w:p>
    <w:p w14:paraId="7C5A1D8D" w14:textId="77777777" w:rsidR="00504DEE" w:rsidRDefault="00504DEE" w:rsidP="00161FDD">
      <w:pPr>
        <w:spacing w:after="120" w:line="360" w:lineRule="auto"/>
        <w:ind w:left="567" w:right="1695"/>
        <w:rPr>
          <w:rFonts w:ascii="Arial" w:eastAsia="Arial" w:hAnsi="Arial" w:cs="Arial"/>
        </w:rPr>
      </w:pPr>
    </w:p>
    <w:p w14:paraId="4C1B7682" w14:textId="77777777" w:rsidR="00504DEE" w:rsidRDefault="00504DEE" w:rsidP="00161FDD">
      <w:pPr>
        <w:spacing w:after="120" w:line="360" w:lineRule="auto"/>
        <w:ind w:left="567" w:right="1695"/>
        <w:rPr>
          <w:rFonts w:ascii="Arial" w:eastAsia="Arial" w:hAnsi="Arial" w:cs="Arial"/>
        </w:rPr>
      </w:pPr>
    </w:p>
    <w:p w14:paraId="538FEB0E" w14:textId="77777777" w:rsidR="00504DEE" w:rsidRDefault="00504DEE" w:rsidP="00161FDD">
      <w:pPr>
        <w:spacing w:after="120" w:line="360" w:lineRule="auto"/>
        <w:ind w:left="567" w:right="1695"/>
        <w:rPr>
          <w:rFonts w:ascii="Arial" w:eastAsia="Arial" w:hAnsi="Arial" w:cs="Arial"/>
        </w:rPr>
      </w:pPr>
    </w:p>
    <w:p w14:paraId="06272C82" w14:textId="77777777" w:rsidR="00041325" w:rsidRDefault="00041325" w:rsidP="00161FDD">
      <w:pPr>
        <w:spacing w:after="120" w:line="360" w:lineRule="auto"/>
        <w:ind w:left="567" w:right="1695"/>
        <w:rPr>
          <w:rFonts w:ascii="Arial" w:eastAsia="Arial" w:hAnsi="Arial" w:cs="Arial"/>
        </w:rPr>
      </w:pPr>
    </w:p>
    <w:p w14:paraId="0945FD9A" w14:textId="77777777" w:rsidR="00041325" w:rsidRDefault="00041325" w:rsidP="00161FDD">
      <w:pPr>
        <w:spacing w:after="120" w:line="360" w:lineRule="auto"/>
        <w:ind w:left="567" w:right="1695"/>
        <w:rPr>
          <w:rFonts w:ascii="Arial" w:eastAsia="Arial" w:hAnsi="Arial" w:cs="Arial"/>
        </w:rPr>
      </w:pPr>
    </w:p>
    <w:p w14:paraId="7EAD8208" w14:textId="77777777" w:rsidR="00041325" w:rsidRDefault="00041325" w:rsidP="00161FDD">
      <w:pPr>
        <w:spacing w:after="120" w:line="360" w:lineRule="auto"/>
        <w:ind w:left="567" w:right="1695"/>
        <w:rPr>
          <w:rFonts w:ascii="Arial" w:eastAsia="Arial" w:hAnsi="Arial" w:cs="Arial"/>
        </w:rPr>
      </w:pPr>
    </w:p>
    <w:p w14:paraId="15E71508" w14:textId="77777777" w:rsidR="00041325" w:rsidRDefault="00041325" w:rsidP="00161FDD">
      <w:pPr>
        <w:spacing w:after="120" w:line="360" w:lineRule="auto"/>
        <w:ind w:left="567" w:right="1695"/>
        <w:rPr>
          <w:rFonts w:ascii="Arial" w:eastAsia="Arial" w:hAnsi="Arial" w:cs="Arial"/>
        </w:rPr>
      </w:pPr>
    </w:p>
    <w:p w14:paraId="59DD7933" w14:textId="0EB46932" w:rsidR="00504DEE" w:rsidRDefault="00041325"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A34507F" wp14:editId="2496473E">
            <wp:extent cx="5047200" cy="2880000"/>
            <wp:effectExtent l="0" t="0" r="0" b="3175"/>
            <wp:docPr id="2469298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929883" name="Grafik 24692988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47200" cy="2880000"/>
                    </a:xfrm>
                    <a:prstGeom prst="rect">
                      <a:avLst/>
                    </a:prstGeom>
                  </pic:spPr>
                </pic:pic>
              </a:graphicData>
            </a:graphic>
          </wp:inline>
        </w:drawing>
      </w:r>
    </w:p>
    <w:p w14:paraId="5DD5DCF9" w14:textId="77777777" w:rsidR="00504DEE" w:rsidRPr="00504DEE" w:rsidRDefault="00504DEE" w:rsidP="00504DEE">
      <w:pPr>
        <w:spacing w:after="120" w:line="360" w:lineRule="auto"/>
        <w:ind w:left="567" w:right="1695"/>
        <w:rPr>
          <w:rFonts w:ascii="Arial" w:eastAsia="Arial" w:hAnsi="Arial" w:cs="Arial"/>
          <w:b/>
          <w:bCs/>
        </w:rPr>
      </w:pPr>
      <w:r>
        <w:rPr>
          <w:rFonts w:ascii="Arial" w:hAnsi="Arial"/>
          <w:b/>
        </w:rPr>
        <w:t xml:space="preserve">Структура порционного дозатора </w:t>
      </w:r>
      <w:proofErr w:type="spellStart"/>
      <w:r>
        <w:rPr>
          <w:rFonts w:ascii="Arial" w:hAnsi="Arial"/>
          <w:b/>
        </w:rPr>
        <w:t>FertiSpot</w:t>
      </w:r>
      <w:proofErr w:type="spellEnd"/>
      <w:r>
        <w:rPr>
          <w:rFonts w:ascii="Arial" w:hAnsi="Arial"/>
          <w:b/>
        </w:rPr>
        <w:t xml:space="preserve"> – Детально</w:t>
      </w:r>
    </w:p>
    <w:p w14:paraId="7212FFD4" w14:textId="23B23163" w:rsidR="00504DEE" w:rsidRP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Удобрения непрерывно подаются сверху в порционный дозатор. Шланг соединен с классическим дозатором.</w:t>
      </w:r>
    </w:p>
    <w:p w14:paraId="5DED69B7" w14:textId="704BC6BA" w:rsidR="00504DEE" w:rsidRP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Лопасть порционного дозатора вращается быстрее, чем выбрасываются поступающие семена, и соответственно частоте вращения дозирующего устройства приводится в движение сервомотором.</w:t>
      </w:r>
    </w:p>
    <w:p w14:paraId="77FD7B80" w14:textId="5ED00D70" w:rsidR="00504DEE" w:rsidRP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Во время оборота лопасти дозатора семена сближаются друг к другу. Формируется компактная порция.</w:t>
      </w:r>
    </w:p>
    <w:p w14:paraId="7BBC9C70" w14:textId="6EA05E72" w:rsidR="00504DEE" w:rsidRDefault="00504DEE" w:rsidP="00504DEE">
      <w:pPr>
        <w:pStyle w:val="Listenabsatz"/>
        <w:numPr>
          <w:ilvl w:val="0"/>
          <w:numId w:val="15"/>
        </w:numPr>
        <w:spacing w:after="120" w:line="360" w:lineRule="auto"/>
        <w:ind w:right="1695"/>
        <w:rPr>
          <w:rFonts w:ascii="Arial" w:eastAsia="Arial" w:hAnsi="Arial" w:cs="Arial"/>
        </w:rPr>
      </w:pPr>
      <w:r>
        <w:rPr>
          <w:rFonts w:ascii="Arial" w:hAnsi="Arial"/>
        </w:rPr>
        <w:t>Семена покидают порционный дозатор в направлении сошника.</w:t>
      </w:r>
    </w:p>
    <w:p w14:paraId="1933E914" w14:textId="77777777" w:rsidR="00504DEE" w:rsidRDefault="00504DEE" w:rsidP="00504DEE">
      <w:pPr>
        <w:spacing w:after="120" w:line="360" w:lineRule="auto"/>
        <w:ind w:right="1695"/>
        <w:rPr>
          <w:rFonts w:ascii="Arial" w:eastAsia="Arial" w:hAnsi="Arial" w:cs="Arial"/>
        </w:rPr>
      </w:pPr>
    </w:p>
    <w:p w14:paraId="6F3DB97B" w14:textId="77777777" w:rsidR="00504DEE" w:rsidRDefault="00504DEE" w:rsidP="00504DEE">
      <w:pPr>
        <w:spacing w:after="120" w:line="360" w:lineRule="auto"/>
        <w:ind w:right="1695"/>
        <w:rPr>
          <w:rFonts w:ascii="Arial" w:eastAsia="Arial" w:hAnsi="Arial" w:cs="Arial"/>
        </w:rPr>
      </w:pPr>
    </w:p>
    <w:p w14:paraId="0D444C75" w14:textId="023A8E37" w:rsidR="00504DEE" w:rsidRDefault="00504DEE" w:rsidP="00504DE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B6E7CBE" wp14:editId="77C88948">
            <wp:extent cx="4053600" cy="2880000"/>
            <wp:effectExtent l="0" t="0" r="0" b="3175"/>
            <wp:docPr id="47112960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129603" name="Grafik 47112960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9EA0250" w14:textId="77777777" w:rsidR="00504DEE" w:rsidRPr="00504DEE" w:rsidRDefault="00504DEE" w:rsidP="00504DEE">
      <w:pPr>
        <w:spacing w:after="120" w:line="360" w:lineRule="auto"/>
        <w:ind w:left="567" w:right="1695"/>
        <w:rPr>
          <w:rFonts w:ascii="Arial" w:eastAsia="Arial" w:hAnsi="Arial" w:cs="Arial"/>
        </w:rPr>
      </w:pPr>
      <w:proofErr w:type="spellStart"/>
      <w:r>
        <w:rPr>
          <w:rFonts w:ascii="Arial" w:hAnsi="Arial"/>
        </w:rPr>
        <w:t>FertiSpot</w:t>
      </w:r>
      <w:proofErr w:type="spellEnd"/>
      <w:r>
        <w:rPr>
          <w:rFonts w:ascii="Arial" w:hAnsi="Arial"/>
        </w:rPr>
        <w:t xml:space="preserve"> подключен к программному обеспечению ISOBUS сеялки </w:t>
      </w:r>
      <w:proofErr w:type="spellStart"/>
      <w:r>
        <w:rPr>
          <w:rFonts w:ascii="Arial" w:hAnsi="Arial"/>
        </w:rPr>
        <w:t>Precea</w:t>
      </w:r>
      <w:proofErr w:type="spellEnd"/>
      <w:r>
        <w:rPr>
          <w:rFonts w:ascii="Arial" w:hAnsi="Arial"/>
        </w:rPr>
        <w:t xml:space="preserve">. Через </w:t>
      </w:r>
      <w:proofErr w:type="spellStart"/>
      <w:r>
        <w:rPr>
          <w:rFonts w:ascii="Arial" w:hAnsi="Arial"/>
        </w:rPr>
        <w:t>AmaTron</w:t>
      </w:r>
      <w:proofErr w:type="spellEnd"/>
      <w:r>
        <w:rPr>
          <w:rFonts w:ascii="Arial" w:hAnsi="Arial"/>
        </w:rPr>
        <w:t xml:space="preserve"> 4 можно перейти от точечного внесения удобрений к ленточной обработке.</w:t>
      </w:r>
    </w:p>
    <w:p w14:paraId="7E0D19F2" w14:textId="77777777" w:rsidR="00504DEE" w:rsidRDefault="00504DEE" w:rsidP="00504DEE">
      <w:pPr>
        <w:spacing w:after="120" w:line="360" w:lineRule="auto"/>
        <w:ind w:left="567" w:right="1695"/>
        <w:rPr>
          <w:rFonts w:ascii="Arial" w:eastAsia="Arial" w:hAnsi="Arial" w:cs="Arial"/>
        </w:rPr>
      </w:pPr>
    </w:p>
    <w:p w14:paraId="36EB5049" w14:textId="77777777" w:rsidR="00504DEE" w:rsidRDefault="00504DEE" w:rsidP="00504DEE">
      <w:pPr>
        <w:spacing w:after="120" w:line="360" w:lineRule="auto"/>
        <w:ind w:left="567" w:right="1695"/>
        <w:rPr>
          <w:rFonts w:ascii="Arial" w:eastAsia="Arial" w:hAnsi="Arial" w:cs="Arial"/>
        </w:rPr>
      </w:pPr>
    </w:p>
    <w:p w14:paraId="508EBD22" w14:textId="47EC1129" w:rsidR="00504DEE" w:rsidRDefault="00504DEE" w:rsidP="00504DEE">
      <w:pPr>
        <w:spacing w:after="120" w:line="360" w:lineRule="auto"/>
        <w:ind w:left="567" w:right="1695"/>
        <w:rPr>
          <w:rFonts w:ascii="Arial" w:eastAsia="Arial" w:hAnsi="Arial" w:cs="Arial"/>
        </w:rPr>
      </w:pPr>
      <w:r>
        <w:rPr>
          <w:rFonts w:ascii="Arial" w:hAnsi="Arial"/>
          <w:noProof/>
        </w:rPr>
        <w:drawing>
          <wp:inline distT="0" distB="0" distL="0" distR="0" wp14:anchorId="465B2165" wp14:editId="20730661">
            <wp:extent cx="1440000" cy="1440000"/>
            <wp:effectExtent l="0" t="0" r="0" b="0"/>
            <wp:docPr id="65554335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43351" name="Grafik 65554335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6B7A868" w14:textId="77777777" w:rsidR="00504DEE" w:rsidRDefault="00504DEE" w:rsidP="00504DEE">
      <w:pPr>
        <w:spacing w:after="120" w:line="360" w:lineRule="auto"/>
        <w:ind w:left="567" w:right="1695"/>
        <w:rPr>
          <w:rFonts w:ascii="Arial" w:eastAsia="Arial" w:hAnsi="Arial" w:cs="Arial"/>
        </w:rPr>
      </w:pPr>
      <w:r>
        <w:rPr>
          <w:rFonts w:ascii="Arial" w:hAnsi="Arial"/>
        </w:rPr>
        <w:t xml:space="preserve">Видео работы </w:t>
      </w:r>
      <w:proofErr w:type="spellStart"/>
      <w:r>
        <w:rPr>
          <w:rFonts w:ascii="Arial" w:hAnsi="Arial"/>
        </w:rPr>
        <w:t>FertiSpot</w:t>
      </w:r>
      <w:proofErr w:type="spellEnd"/>
      <w:r>
        <w:rPr>
          <w:rFonts w:ascii="Arial" w:hAnsi="Arial"/>
        </w:rPr>
        <w:t xml:space="preserve">: </w:t>
      </w:r>
    </w:p>
    <w:p w14:paraId="628970F6" w14:textId="04345543" w:rsidR="00504DEE" w:rsidRPr="00504DEE" w:rsidRDefault="00504DEE" w:rsidP="00504DEE">
      <w:pPr>
        <w:spacing w:after="120" w:line="360" w:lineRule="auto"/>
        <w:ind w:left="567" w:right="1695"/>
        <w:rPr>
          <w:rFonts w:ascii="Arial" w:eastAsia="Arial" w:hAnsi="Arial" w:cs="Arial"/>
          <w:b/>
          <w:bCs/>
        </w:rPr>
      </w:pPr>
      <w:r>
        <w:rPr>
          <w:rFonts w:ascii="Arial" w:hAnsi="Arial"/>
          <w:b/>
        </w:rPr>
        <w:t>www.amazone.net/yt-fertispot</w:t>
      </w:r>
    </w:p>
    <w:p w14:paraId="418D5C8A" w14:textId="77777777" w:rsidR="00504DEE" w:rsidRDefault="00504DEE" w:rsidP="00504DEE">
      <w:pPr>
        <w:spacing w:after="120" w:line="360" w:lineRule="auto"/>
        <w:ind w:left="567" w:right="1695"/>
        <w:rPr>
          <w:rFonts w:ascii="Arial" w:eastAsia="Arial" w:hAnsi="Arial" w:cs="Arial"/>
        </w:rPr>
      </w:pPr>
    </w:p>
    <w:p w14:paraId="15821472" w14:textId="77777777" w:rsidR="00504DEE" w:rsidRDefault="00504DEE" w:rsidP="00504DEE">
      <w:pPr>
        <w:spacing w:after="120" w:line="360" w:lineRule="auto"/>
        <w:ind w:left="567" w:right="1695"/>
        <w:rPr>
          <w:rFonts w:ascii="Arial" w:eastAsia="Arial" w:hAnsi="Arial" w:cs="Arial"/>
        </w:rPr>
      </w:pPr>
    </w:p>
    <w:p w14:paraId="42647DFA" w14:textId="7DC06E6C" w:rsidR="00504DEE" w:rsidRDefault="00504DEE" w:rsidP="00504DE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A5929B5" wp14:editId="725776BC">
            <wp:extent cx="6120000" cy="2649600"/>
            <wp:effectExtent l="0" t="0" r="1905" b="5080"/>
            <wp:docPr id="68129296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292969" name="Grafik 68129296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649600"/>
                    </a:xfrm>
                    <a:prstGeom prst="rect">
                      <a:avLst/>
                    </a:prstGeom>
                  </pic:spPr>
                </pic:pic>
              </a:graphicData>
            </a:graphic>
          </wp:inline>
        </w:drawing>
      </w:r>
    </w:p>
    <w:p w14:paraId="5C8F95DD" w14:textId="5FDFDB13" w:rsidR="00504DEE" w:rsidRPr="00504DEE" w:rsidRDefault="00504DEE" w:rsidP="00504DEE">
      <w:pPr>
        <w:spacing w:after="120" w:line="360" w:lineRule="auto"/>
        <w:ind w:left="567" w:right="1695"/>
        <w:rPr>
          <w:rFonts w:ascii="Arial" w:eastAsia="Arial" w:hAnsi="Arial" w:cs="Arial"/>
        </w:rPr>
      </w:pPr>
      <w:r>
        <w:rPr>
          <w:rFonts w:ascii="Arial" w:hAnsi="Arial"/>
        </w:rPr>
        <w:t>Порционная подача удобрений 5 см рядом и 5 см под зерном кукурузы. Удобрения подаются только на тех участках, где они сразу же будут доступны для растений.</w:t>
      </w:r>
    </w:p>
    <w:p w14:paraId="07C178FE" w14:textId="77777777" w:rsidR="00504DEE" w:rsidRDefault="00504DEE" w:rsidP="00504DEE">
      <w:pPr>
        <w:spacing w:after="120" w:line="360" w:lineRule="auto"/>
        <w:ind w:left="567" w:right="1695"/>
        <w:rPr>
          <w:rFonts w:ascii="Arial" w:eastAsia="Arial" w:hAnsi="Arial" w:cs="Arial"/>
        </w:rPr>
      </w:pPr>
    </w:p>
    <w:p w14:paraId="7856BA14" w14:textId="77777777" w:rsidR="00504DEE" w:rsidRDefault="00504DEE" w:rsidP="00504DEE">
      <w:pPr>
        <w:spacing w:after="120" w:line="360" w:lineRule="auto"/>
        <w:ind w:left="567" w:right="1695"/>
        <w:rPr>
          <w:rFonts w:ascii="Arial" w:eastAsia="Arial" w:hAnsi="Arial" w:cs="Arial"/>
        </w:rPr>
      </w:pPr>
    </w:p>
    <w:p w14:paraId="1544679C" w14:textId="6C4A82EE" w:rsidR="00504DEE" w:rsidRDefault="00455D6D" w:rsidP="00504DE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18DDF33" wp14:editId="64B54A4A">
            <wp:extent cx="2880000" cy="2880000"/>
            <wp:effectExtent l="0" t="0" r="3175" b="3175"/>
            <wp:docPr id="11872619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261983" name="Grafik 118726198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3E0D6EBE" w14:textId="25A5916C" w:rsidR="00504DEE" w:rsidRDefault="00504DEE" w:rsidP="00504DEE">
      <w:pPr>
        <w:spacing w:after="120" w:line="360" w:lineRule="auto"/>
        <w:ind w:left="567" w:right="1695"/>
        <w:rPr>
          <w:rFonts w:ascii="Arial" w:eastAsia="Arial" w:hAnsi="Arial" w:cs="Arial"/>
        </w:rPr>
      </w:pPr>
      <w:r>
        <w:rPr>
          <w:rFonts w:ascii="Arial" w:hAnsi="Arial"/>
        </w:rPr>
        <w:t>Диаграмма показывает, что при точечной обработке с одновременным снижением количества удобрений для подкормки на 25 % может быть достигнут тот же уровень урожайности, что и при традиционной ленточной обработке.</w:t>
      </w:r>
    </w:p>
    <w:p w14:paraId="39A83A7F" w14:textId="77777777" w:rsidR="00504DEE" w:rsidRDefault="00504DEE" w:rsidP="00504DEE">
      <w:pPr>
        <w:spacing w:after="120" w:line="360" w:lineRule="auto"/>
        <w:ind w:left="567" w:right="1695"/>
        <w:rPr>
          <w:rFonts w:ascii="Arial" w:eastAsia="Arial" w:hAnsi="Arial" w:cs="Arial"/>
        </w:rPr>
      </w:pPr>
    </w:p>
    <w:p w14:paraId="6BEFB3B3" w14:textId="353327DE" w:rsidR="00504DEE" w:rsidRPr="00504DEE" w:rsidRDefault="00041325" w:rsidP="00504DE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68D3BB4" wp14:editId="08961B8B">
            <wp:extent cx="2880000" cy="2880000"/>
            <wp:effectExtent l="0" t="0" r="3175" b="3175"/>
            <wp:docPr id="79562879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628799" name="Grafik 795628799"/>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288BF973" w14:textId="03E93437" w:rsidR="00504DEE" w:rsidRPr="00504DEE" w:rsidRDefault="00504DEE" w:rsidP="00504DEE">
      <w:pPr>
        <w:spacing w:after="120" w:line="360" w:lineRule="auto"/>
        <w:ind w:left="567" w:right="1695"/>
        <w:rPr>
          <w:rFonts w:ascii="Arial" w:eastAsia="Arial" w:hAnsi="Arial" w:cs="Arial"/>
        </w:rPr>
      </w:pPr>
      <w:r>
        <w:rPr>
          <w:rFonts w:ascii="Arial" w:hAnsi="Arial"/>
        </w:rPr>
        <w:t>Сравнение маржинальных доходов при ленточной обработке со 100 % нормы внесения удобрений и точечной обработке с 75 % нормы внесения удобрений.</w:t>
      </w:r>
    </w:p>
    <w:p w14:paraId="49596F5E" w14:textId="77777777" w:rsidR="00041325" w:rsidRDefault="00041325" w:rsidP="00161FDD">
      <w:pPr>
        <w:spacing w:after="120" w:line="360" w:lineRule="auto"/>
        <w:ind w:right="1695"/>
        <w:rPr>
          <w:rFonts w:ascii="Arial" w:eastAsia="Arial" w:hAnsi="Arial" w:cs="Arial"/>
        </w:rPr>
      </w:pPr>
    </w:p>
    <w:p w14:paraId="675F623A" w14:textId="77777777" w:rsidR="00455D6D" w:rsidRDefault="00455D6D" w:rsidP="00161FDD">
      <w:pPr>
        <w:spacing w:after="120" w:line="360" w:lineRule="auto"/>
        <w:ind w:right="1695"/>
        <w:rPr>
          <w:rFonts w:ascii="Arial" w:eastAsia="Arial" w:hAnsi="Arial" w:cs="Arial"/>
        </w:rPr>
      </w:pPr>
    </w:p>
    <w:p w14:paraId="57F64DBB" w14:textId="77777777" w:rsidR="00455D6D" w:rsidRDefault="00455D6D" w:rsidP="00161FDD">
      <w:pPr>
        <w:spacing w:after="120" w:line="360" w:lineRule="auto"/>
        <w:ind w:right="1695"/>
        <w:rPr>
          <w:rFonts w:ascii="Arial" w:eastAsia="Arial" w:hAnsi="Arial" w:cs="Arial"/>
        </w:rPr>
      </w:pPr>
    </w:p>
    <w:p w14:paraId="636D4034" w14:textId="77777777" w:rsidR="00455D6D" w:rsidRDefault="00455D6D" w:rsidP="00161FDD">
      <w:pPr>
        <w:spacing w:after="120" w:line="360" w:lineRule="auto"/>
        <w:ind w:right="1695"/>
        <w:rPr>
          <w:rFonts w:ascii="Arial" w:eastAsia="Arial" w:hAnsi="Arial" w:cs="Arial"/>
        </w:rPr>
      </w:pPr>
    </w:p>
    <w:p w14:paraId="7F9C76D6" w14:textId="77777777" w:rsidR="00455D6D" w:rsidRDefault="00455D6D" w:rsidP="00161FDD">
      <w:pPr>
        <w:spacing w:after="120" w:line="360" w:lineRule="auto"/>
        <w:ind w:right="1695"/>
        <w:rPr>
          <w:rFonts w:ascii="Arial" w:eastAsia="Arial" w:hAnsi="Arial" w:cs="Arial"/>
        </w:rPr>
      </w:pPr>
    </w:p>
    <w:p w14:paraId="6AFE5DCC" w14:textId="77777777" w:rsidR="00455D6D" w:rsidRDefault="00455D6D" w:rsidP="00161FDD">
      <w:pPr>
        <w:spacing w:after="120" w:line="360" w:lineRule="auto"/>
        <w:ind w:right="1695"/>
        <w:rPr>
          <w:rFonts w:ascii="Arial" w:eastAsia="Arial" w:hAnsi="Arial" w:cs="Arial"/>
        </w:rPr>
      </w:pPr>
    </w:p>
    <w:p w14:paraId="1C10B667" w14:textId="77777777" w:rsidR="00455D6D" w:rsidRDefault="00455D6D" w:rsidP="00161FDD">
      <w:pPr>
        <w:spacing w:after="120" w:line="360" w:lineRule="auto"/>
        <w:ind w:right="1695"/>
        <w:rPr>
          <w:rFonts w:ascii="Arial" w:eastAsia="Arial" w:hAnsi="Arial" w:cs="Arial"/>
        </w:rPr>
      </w:pPr>
    </w:p>
    <w:p w14:paraId="4CA26F56" w14:textId="77777777" w:rsidR="00455D6D" w:rsidRDefault="00455D6D" w:rsidP="00161FDD">
      <w:pPr>
        <w:spacing w:after="120" w:line="360" w:lineRule="auto"/>
        <w:ind w:right="1695"/>
        <w:rPr>
          <w:rFonts w:ascii="Arial" w:eastAsia="Arial" w:hAnsi="Arial" w:cs="Arial"/>
        </w:rPr>
      </w:pPr>
    </w:p>
    <w:p w14:paraId="2C9DB6B1" w14:textId="77777777" w:rsidR="00455D6D" w:rsidRDefault="00455D6D" w:rsidP="00161FDD">
      <w:pPr>
        <w:spacing w:after="120" w:line="360" w:lineRule="auto"/>
        <w:ind w:right="1695"/>
        <w:rPr>
          <w:rFonts w:ascii="Arial" w:eastAsia="Arial" w:hAnsi="Arial" w:cs="Arial"/>
        </w:rPr>
      </w:pPr>
    </w:p>
    <w:p w14:paraId="1081ABE2" w14:textId="77777777" w:rsidR="00455D6D" w:rsidRDefault="00455D6D" w:rsidP="00161FDD">
      <w:pPr>
        <w:spacing w:after="120" w:line="360" w:lineRule="auto"/>
        <w:ind w:right="1695"/>
        <w:rPr>
          <w:rFonts w:ascii="Arial" w:eastAsia="Arial" w:hAnsi="Arial" w:cs="Arial"/>
        </w:rPr>
      </w:pPr>
    </w:p>
    <w:p w14:paraId="2DD52A95" w14:textId="77777777" w:rsidR="00455D6D" w:rsidRDefault="00455D6D" w:rsidP="00161FDD">
      <w:pPr>
        <w:spacing w:after="120" w:line="360" w:lineRule="auto"/>
        <w:ind w:right="1695"/>
        <w:rPr>
          <w:rFonts w:ascii="Arial" w:eastAsia="Arial" w:hAnsi="Arial" w:cs="Arial"/>
        </w:rPr>
      </w:pPr>
    </w:p>
    <w:p w14:paraId="5E6C9847" w14:textId="77777777" w:rsidR="00455D6D" w:rsidRPr="00F4316E" w:rsidRDefault="00455D6D"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Иллюстрации, содержание и данные о технических характеристиках не имеют обязательной силы и могут отличаться в зависимости от оснащения! Следует соблюдать действующие положения местных правил дорожного движения, возможно, потребуется получение специального разрешения. Следует уточнить допустимую нагрузку на ось и общий вес трактора. Не все возможности комбинирования можно реализовать с тракторами любых производителей.</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Об AMAZONE</w:t>
      </w:r>
    </w:p>
    <w:p w14:paraId="7F8944CC" w14:textId="387E1583"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Компания AMAZONEN-WERKE H. </w:t>
      </w:r>
      <w:proofErr w:type="spellStart"/>
      <w:r>
        <w:rPr>
          <w:rFonts w:ascii="Arial" w:hAnsi="Arial"/>
          <w:color w:val="808080" w:themeColor="background1" w:themeShade="80"/>
          <w:sz w:val="20"/>
        </w:rPr>
        <w:t>Dreyer</w:t>
      </w:r>
      <w:proofErr w:type="spellEnd"/>
      <w:r>
        <w:rPr>
          <w:rFonts w:ascii="Arial" w:hAnsi="Arial"/>
          <w:color w:val="808080" w:themeColor="background1" w:themeShade="80"/>
          <w:sz w:val="20"/>
        </w:rPr>
        <w:t xml:space="preserve"> SE &amp; Co. KG с головным офисом в 49205 </w:t>
      </w:r>
      <w:proofErr w:type="spellStart"/>
      <w:r>
        <w:rPr>
          <w:rFonts w:ascii="Arial" w:hAnsi="Arial"/>
          <w:color w:val="808080" w:themeColor="background1" w:themeShade="80"/>
          <w:sz w:val="20"/>
        </w:rPr>
        <w:t>Хасберген-Гасте</w:t>
      </w:r>
      <w:proofErr w:type="spellEnd"/>
      <w:r>
        <w:rPr>
          <w:rFonts w:ascii="Arial" w:hAnsi="Arial"/>
          <w:color w:val="808080" w:themeColor="background1" w:themeShade="80"/>
          <w:sz w:val="20"/>
        </w:rPr>
        <w:t xml:space="preserve"> специализируется на изготовлении сельскохозяйственной и коммунальной техники.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2000 человек. Продуктовая линейка включает почвообрабатывающие орудия, сеялки, распределители удобрений и орудия для защиты растений. С 2019 года компания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входит в группу AMAZONE. На базе данных ключевых компетенций AMAZONE сегодня является специалистом по "интеллектуальному растениеводству" в области сельского хозяйства. Дополнительная информация: </w:t>
      </w:r>
      <w:hyperlink r:id="rId19"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014C0C68">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45FC761D">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DEBB145">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7D93E601">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130F0D4">
            <wp:extent cx="241300" cy="241300"/>
            <wp:effectExtent l="0" t="0" r="6350" b="6350"/>
            <wp:docPr id="7" name="Grafik 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33D625" w14:textId="77777777" w:rsidR="005E08B4" w:rsidRDefault="005E08B4">
      <w:r>
        <w:separator/>
      </w:r>
    </w:p>
  </w:endnote>
  <w:endnote w:type="continuationSeparator" w:id="0">
    <w:p w14:paraId="1385E417" w14:textId="77777777" w:rsidR="005E08B4" w:rsidRDefault="005E08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Страница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из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Страница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из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w:t>
                          </w:r>
                          <w:proofErr w:type="spellStart"/>
                          <w:r>
                            <w:rPr>
                              <w:rFonts w:ascii="Arial" w:hAnsi="Arial"/>
                              <w:sz w:val="20"/>
                            </w:rPr>
                            <w:t>Am</w:t>
                          </w:r>
                          <w:proofErr w:type="spellEnd"/>
                          <w:r>
                            <w:rPr>
                              <w:rFonts w:ascii="Arial" w:hAnsi="Arial"/>
                              <w:sz w:val="20"/>
                            </w:rPr>
                            <w:t xml:space="preserve">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 xml:space="preserve">Телефон +49 (0)5405 </w:t>
                          </w:r>
                          <w:proofErr w:type="gramStart"/>
                          <w:r>
                            <w:rPr>
                              <w:rFonts w:ascii="Arial" w:hAnsi="Arial"/>
                              <w:sz w:val="20"/>
                            </w:rPr>
                            <w:t>501-0</w:t>
                          </w:r>
                          <w:proofErr w:type="gramEnd"/>
                          <w:r>
                            <w:rPr>
                              <w:rFonts w:ascii="Arial" w:hAnsi="Arial"/>
                              <w:sz w:val="20"/>
                            </w:rPr>
                            <w:t xml:space="preserve"> ∙ amazone@amazone.de ∙ www.amazone.ru</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Телефон +49 (0)5405 501-0 ∙ amazone@amazone.de ∙ www.amazone.ru</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8F0A10" w14:textId="77777777" w:rsidR="005E08B4" w:rsidRDefault="005E08B4">
      <w:r>
        <w:separator/>
      </w:r>
    </w:p>
  </w:footnote>
  <w:footnote w:type="continuationSeparator" w:id="0">
    <w:p w14:paraId="3FA3ED65" w14:textId="77777777" w:rsidR="005E08B4" w:rsidRDefault="005E08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Пресс-релиз</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Пресс-релиз</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676724"/>
    <w:multiLevelType w:val="hybridMultilevel"/>
    <w:tmpl w:val="2F9E3498"/>
    <w:lvl w:ilvl="0" w:tplc="FFFFFFFF">
      <w:start w:val="1"/>
      <w:numFmt w:val="bullet"/>
      <w:lvlText w:val=""/>
      <w:lvlJc w:val="left"/>
      <w:pPr>
        <w:ind w:left="720" w:hanging="360"/>
      </w:pPr>
      <w:rPr>
        <w:rFonts w:ascii="Symbol" w:hAnsi="Symbol" w:hint="default"/>
      </w:rPr>
    </w:lvl>
    <w:lvl w:ilvl="1" w:tplc="2FAA1B28">
      <w:numFmt w:val="bullet"/>
      <w:lvlText w:val="–"/>
      <w:lvlJc w:val="left"/>
      <w:pPr>
        <w:ind w:left="1440" w:hanging="360"/>
      </w:pPr>
      <w:rPr>
        <w:rFonts w:ascii="Arial" w:eastAsia="Arial"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21501AC"/>
    <w:multiLevelType w:val="hybridMultilevel"/>
    <w:tmpl w:val="7E4CB62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ACA683F"/>
    <w:multiLevelType w:val="hybridMultilevel"/>
    <w:tmpl w:val="2872ED4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D451516"/>
    <w:multiLevelType w:val="hybridMultilevel"/>
    <w:tmpl w:val="2F7C2F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AF70C0B"/>
    <w:multiLevelType w:val="hybridMultilevel"/>
    <w:tmpl w:val="80F4ABE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5"/>
  </w:num>
  <w:num w:numId="8" w16cid:durableId="294531490">
    <w:abstractNumId w:val="13"/>
  </w:num>
  <w:num w:numId="9" w16cid:durableId="2071071478">
    <w:abstractNumId w:val="4"/>
  </w:num>
  <w:num w:numId="10" w16cid:durableId="136532471">
    <w:abstractNumId w:val="9"/>
  </w:num>
  <w:num w:numId="11" w16cid:durableId="2055814173">
    <w:abstractNumId w:val="10"/>
  </w:num>
  <w:num w:numId="12" w16cid:durableId="636498599">
    <w:abstractNumId w:val="16"/>
  </w:num>
  <w:num w:numId="13" w16cid:durableId="118423553">
    <w:abstractNumId w:val="17"/>
  </w:num>
  <w:num w:numId="14" w16cid:durableId="829760175">
    <w:abstractNumId w:val="14"/>
  </w:num>
  <w:num w:numId="15" w16cid:durableId="846485430">
    <w:abstractNumId w:val="7"/>
  </w:num>
  <w:num w:numId="16" w16cid:durableId="1319649389">
    <w:abstractNumId w:val="11"/>
  </w:num>
  <w:num w:numId="17" w16cid:durableId="861210839">
    <w:abstractNumId w:val="12"/>
  </w:num>
  <w:num w:numId="18" w16cid:durableId="30921698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5F1"/>
    <w:rsid w:val="00033A08"/>
    <w:rsid w:val="00033B2B"/>
    <w:rsid w:val="00034A5D"/>
    <w:rsid w:val="0003624C"/>
    <w:rsid w:val="000379F2"/>
    <w:rsid w:val="000405EE"/>
    <w:rsid w:val="00041325"/>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5D6D"/>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4DEE"/>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334B"/>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8B4"/>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1704"/>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51"/>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CA6"/>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1E4F"/>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ru-RU"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group" TargetMode="External"/><Relationship Id="rId29" Type="http://schemas.openxmlformats.org/officeDocument/2006/relationships/hyperlink" Target="https://www.linkedin.com/company/amazone-group/"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group"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www.amazone.ru"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1091</Words>
  <Characters>6875</Characters>
  <Application>Microsoft Office Word</Application>
  <DocSecurity>0</DocSecurity>
  <Lines>57</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7951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