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3510C" w14:textId="3B88DE46" w:rsidR="00342AB4" w:rsidRPr="00342AB4" w:rsidRDefault="00342AB4" w:rsidP="00342AB4">
      <w:pPr>
        <w:spacing w:after="120" w:line="360" w:lineRule="auto"/>
        <w:ind w:left="567" w:right="1695"/>
        <w:rPr>
          <w:rFonts w:ascii="Arial" w:hAnsi="Arial" w:cs="Arial"/>
          <w:b/>
          <w:bCs/>
          <w:sz w:val="28"/>
          <w:szCs w:val="28"/>
        </w:rPr>
      </w:pPr>
      <w:r>
        <w:rPr>
          <w:rFonts w:ascii="Arial" w:hAnsi="Arial"/>
          <w:b/>
          <w:sz w:val="28"/>
        </w:rPr>
        <w:t xml:space="preserve">New functions for the </w:t>
      </w:r>
      <w:proofErr w:type="spellStart"/>
      <w:r>
        <w:rPr>
          <w:rFonts w:ascii="Arial" w:hAnsi="Arial"/>
          <w:b/>
          <w:sz w:val="28"/>
        </w:rPr>
        <w:t>AmaTron</w:t>
      </w:r>
      <w:proofErr w:type="spellEnd"/>
      <w:r>
        <w:rPr>
          <w:rFonts w:ascii="Arial" w:hAnsi="Arial"/>
          <w:b/>
          <w:sz w:val="28"/>
        </w:rPr>
        <w:t xml:space="preserve"> 4 ISOBUS terminal</w:t>
      </w:r>
    </w:p>
    <w:p w14:paraId="7929F584" w14:textId="77777777" w:rsidR="00342AB4" w:rsidRPr="00342AB4" w:rsidRDefault="00342AB4" w:rsidP="00342AB4">
      <w:pPr>
        <w:spacing w:line="360" w:lineRule="auto"/>
        <w:ind w:left="567" w:right="1695"/>
        <w:rPr>
          <w:rFonts w:ascii="Arial" w:hAnsi="Arial" w:cs="Arial"/>
          <w:b/>
          <w:bCs/>
        </w:rPr>
      </w:pPr>
      <w:r>
        <w:rPr>
          <w:rFonts w:ascii="Arial" w:hAnsi="Arial"/>
          <w:b/>
        </w:rPr>
        <w:t>5 software functions for new possibilities within Precision Farming</w:t>
      </w:r>
    </w:p>
    <w:p w14:paraId="65EA582A" w14:textId="77777777" w:rsidR="00161FDD" w:rsidRDefault="00161FDD" w:rsidP="00161FDD">
      <w:pPr>
        <w:spacing w:line="360" w:lineRule="auto"/>
        <w:ind w:left="567" w:right="1695"/>
        <w:rPr>
          <w:rFonts w:ascii="Arial" w:hAnsi="Arial" w:cs="Arial"/>
        </w:rPr>
      </w:pPr>
    </w:p>
    <w:p w14:paraId="750B6F2B" w14:textId="77777777" w:rsidR="00342AB4" w:rsidRDefault="00342AB4" w:rsidP="00342AB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AmaTron</w:t>
      </w:r>
      <w:proofErr w:type="spellEnd"/>
      <w:r>
        <w:rPr>
          <w:rFonts w:ascii="Arial" w:hAnsi="Arial"/>
        </w:rPr>
        <w:t xml:space="preserve"> 4 ISOBUS terminal was specially developed by AMAZONE and is used for monitoring and operating AMAZONE ISOBUS machinery as well as the ISOBUS machinery of other manufacturers. </w:t>
      </w:r>
      <w:proofErr w:type="spellStart"/>
      <w:r>
        <w:rPr>
          <w:rFonts w:ascii="Arial" w:hAnsi="Arial"/>
        </w:rPr>
        <w:t>AmaTron</w:t>
      </w:r>
      <w:proofErr w:type="spellEnd"/>
      <w:r>
        <w:rPr>
          <w:rFonts w:ascii="Arial" w:hAnsi="Arial"/>
        </w:rPr>
        <w:t xml:space="preserve"> 4 has been exceptionally well received since its launch onto the market in 2018 especially as a result of its practice-oriented and clearly arranged menu prompting, which offers the user comfortable and intuitive operation at all times. Special software functions for </w:t>
      </w:r>
      <w:proofErr w:type="spellStart"/>
      <w:r>
        <w:rPr>
          <w:rFonts w:ascii="Arial" w:hAnsi="Arial"/>
        </w:rPr>
        <w:t>AmaTron</w:t>
      </w:r>
      <w:proofErr w:type="spellEnd"/>
      <w:r>
        <w:rPr>
          <w:rFonts w:ascii="Arial" w:hAnsi="Arial"/>
        </w:rPr>
        <w:t xml:space="preserve"> 4 are a highlight. At AMAZONE, "More than ISOBUS" stands for special terminal and machine functions which offer the user added value in the precision farming sector. Well-known functions with a unique selling point which are made possible in combination with </w:t>
      </w:r>
      <w:proofErr w:type="spellStart"/>
      <w:r>
        <w:rPr>
          <w:rFonts w:ascii="Arial" w:hAnsi="Arial"/>
        </w:rPr>
        <w:t>AmaTron</w:t>
      </w:r>
      <w:proofErr w:type="spellEnd"/>
      <w:r>
        <w:rPr>
          <w:rFonts w:ascii="Arial" w:hAnsi="Arial"/>
        </w:rPr>
        <w:t xml:space="preserve"> 4 as an ISOBUS terminal, include the </w:t>
      </w:r>
      <w:proofErr w:type="spellStart"/>
      <w:r>
        <w:rPr>
          <w:rFonts w:ascii="Arial" w:hAnsi="Arial"/>
        </w:rPr>
        <w:t>HeadlandControl</w:t>
      </w:r>
      <w:proofErr w:type="spellEnd"/>
      <w:r>
        <w:rPr>
          <w:rFonts w:ascii="Arial" w:hAnsi="Arial"/>
        </w:rPr>
        <w:t xml:space="preserve"> headland management system as well as the parabolic switching characteristic with an AMAZONE ZA-TS fertiliser spreader or automatic boom lowering with an AMAZONE crop protection sprayer. The latest software of </w:t>
      </w:r>
      <w:proofErr w:type="spellStart"/>
      <w:r>
        <w:rPr>
          <w:rFonts w:ascii="Arial" w:hAnsi="Arial"/>
        </w:rPr>
        <w:t>AmaTron</w:t>
      </w:r>
      <w:proofErr w:type="spellEnd"/>
      <w:r>
        <w:rPr>
          <w:rFonts w:ascii="Arial" w:hAnsi="Arial"/>
        </w:rPr>
        <w:t xml:space="preserve"> 4 now offers even more additional functions in combination with AMAZONE crop protection sprayers, seed drills, fertiliser spreaders and for data management.</w:t>
      </w:r>
    </w:p>
    <w:p w14:paraId="6A5C6ED0" w14:textId="77777777" w:rsidR="00342AB4" w:rsidRDefault="00342AB4" w:rsidP="00342AB4">
      <w:pPr>
        <w:spacing w:after="120" w:line="360" w:lineRule="auto"/>
        <w:ind w:left="567" w:right="1695"/>
        <w:rPr>
          <w:rFonts w:ascii="Arial" w:eastAsia="Arial" w:hAnsi="Arial" w:cs="Arial"/>
        </w:rPr>
      </w:pPr>
    </w:p>
    <w:p w14:paraId="7BC443AF" w14:textId="441164FF" w:rsidR="00342AB4" w:rsidRPr="00342AB4" w:rsidRDefault="00342AB4" w:rsidP="00342AB4">
      <w:pPr>
        <w:spacing w:after="120" w:line="360" w:lineRule="auto"/>
        <w:ind w:left="567" w:right="1695"/>
        <w:rPr>
          <w:rFonts w:ascii="Arial" w:eastAsia="Arial" w:hAnsi="Arial" w:cs="Arial"/>
        </w:rPr>
      </w:pPr>
      <w:r>
        <w:rPr>
          <w:rFonts w:ascii="Arial" w:hAnsi="Arial"/>
          <w:b/>
        </w:rPr>
        <w:t xml:space="preserve">Processing of spot application maps – </w:t>
      </w:r>
      <w:proofErr w:type="spellStart"/>
      <w:r>
        <w:rPr>
          <w:rFonts w:ascii="Arial" w:hAnsi="Arial"/>
          <w:b/>
        </w:rPr>
        <w:t>AmaSelect</w:t>
      </w:r>
      <w:proofErr w:type="spellEnd"/>
      <w:r>
        <w:rPr>
          <w:rFonts w:ascii="Arial" w:hAnsi="Arial"/>
          <w:b/>
        </w:rPr>
        <w:t xml:space="preserve"> spot </w:t>
      </w:r>
    </w:p>
    <w:p w14:paraId="3365847D"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Weeds are spread heterogeneously over the field and can often be found either in patches or in strips. With </w:t>
      </w:r>
      <w:proofErr w:type="spellStart"/>
      <w:r>
        <w:rPr>
          <w:rFonts w:ascii="Arial" w:hAnsi="Arial"/>
        </w:rPr>
        <w:t>AmaSelect</w:t>
      </w:r>
      <w:proofErr w:type="spellEnd"/>
      <w:r>
        <w:rPr>
          <w:rFonts w:ascii="Arial" w:hAnsi="Arial"/>
        </w:rPr>
        <w:t xml:space="preserve"> individual nozzle control, AMAZONE has offered an option for part-area, site-specific weed treatment based on highly accurate spot application maps since 2019. To begin with, the area to be treated and its weed distribution is scanned via a service provider and the data processed to create a spot application map. In the second step, weeds are spot-treated across the surface area. </w:t>
      </w:r>
    </w:p>
    <w:p w14:paraId="5898893F" w14:textId="77777777" w:rsidR="00342AB4" w:rsidRPr="00342AB4" w:rsidRDefault="00342AB4" w:rsidP="00342AB4">
      <w:pPr>
        <w:spacing w:after="120" w:line="360" w:lineRule="auto"/>
        <w:ind w:left="567" w:right="1695"/>
        <w:rPr>
          <w:rFonts w:ascii="Arial" w:eastAsia="Arial" w:hAnsi="Arial" w:cs="Arial"/>
        </w:rPr>
      </w:pPr>
    </w:p>
    <w:p w14:paraId="6ED62DEB" w14:textId="77777777" w:rsidR="00342AB4" w:rsidRDefault="00342AB4" w:rsidP="00342AB4">
      <w:pPr>
        <w:spacing w:after="120" w:line="360" w:lineRule="auto"/>
        <w:ind w:left="567" w:right="1695"/>
        <w:rPr>
          <w:rFonts w:ascii="Arial" w:eastAsia="Arial" w:hAnsi="Arial" w:cs="Arial"/>
        </w:rPr>
      </w:pPr>
      <w:r>
        <w:rPr>
          <w:rFonts w:ascii="Arial" w:hAnsi="Arial"/>
        </w:rPr>
        <w:t xml:space="preserve">These point or multipoint maps can now be comfortably loaded into the terminal via the </w:t>
      </w:r>
      <w:proofErr w:type="spellStart"/>
      <w:r>
        <w:rPr>
          <w:rFonts w:ascii="Arial" w:hAnsi="Arial"/>
        </w:rPr>
        <w:t>AmaTron</w:t>
      </w:r>
      <w:proofErr w:type="spellEnd"/>
      <w:r>
        <w:rPr>
          <w:rFonts w:ascii="Arial" w:hAnsi="Arial"/>
        </w:rPr>
        <w:t xml:space="preserve"> 4 Import menu. When passing over the area, </w:t>
      </w:r>
      <w:proofErr w:type="spellStart"/>
      <w:r>
        <w:rPr>
          <w:rFonts w:ascii="Arial" w:hAnsi="Arial"/>
        </w:rPr>
        <w:t>AmaSelect</w:t>
      </w:r>
      <w:proofErr w:type="spellEnd"/>
      <w:r>
        <w:rPr>
          <w:rFonts w:ascii="Arial" w:hAnsi="Arial"/>
        </w:rPr>
        <w:t xml:space="preserve"> spot </w:t>
      </w:r>
      <w:r>
        <w:rPr>
          <w:rFonts w:ascii="Arial" w:hAnsi="Arial"/>
        </w:rPr>
        <w:lastRenderedPageBreak/>
        <w:t xml:space="preserve">opens the nozzles exclusively at the points marked on the application map, so that only the previously analysed weeds are treated. This enables very precise spot application on the weeds and provides potential savings on plant protection agents of up to 80 %, depending on the weed cover. This protects the environment and also prevents the development of resistance thanks to small-area spot applications with a 100 % concentration of plant protection agent. The application is particularly comfortable for the driver when the </w:t>
      </w:r>
      <w:proofErr w:type="spellStart"/>
      <w:r>
        <w:rPr>
          <w:rFonts w:ascii="Arial" w:hAnsi="Arial"/>
        </w:rPr>
        <w:t>AmaTron</w:t>
      </w:r>
      <w:proofErr w:type="spellEnd"/>
      <w:r>
        <w:rPr>
          <w:rFonts w:ascii="Arial" w:hAnsi="Arial"/>
        </w:rPr>
        <w:t xml:space="preserve"> Twin App for </w:t>
      </w:r>
      <w:proofErr w:type="spellStart"/>
      <w:r>
        <w:rPr>
          <w:rFonts w:ascii="Arial" w:hAnsi="Arial"/>
        </w:rPr>
        <w:t>AmaTron</w:t>
      </w:r>
      <w:proofErr w:type="spellEnd"/>
      <w:r>
        <w:rPr>
          <w:rFonts w:ascii="Arial" w:hAnsi="Arial"/>
        </w:rPr>
        <w:t xml:space="preserve"> 4 is used. The driver has both the machine operation menu and the map view with the spot areas in sight at all times here.</w:t>
      </w:r>
    </w:p>
    <w:p w14:paraId="59889793" w14:textId="77777777" w:rsidR="00342AB4" w:rsidRPr="00342AB4" w:rsidRDefault="00342AB4" w:rsidP="00342AB4">
      <w:pPr>
        <w:spacing w:after="120" w:line="360" w:lineRule="auto"/>
        <w:ind w:left="567" w:right="1695"/>
        <w:rPr>
          <w:rFonts w:ascii="Arial" w:eastAsia="Arial" w:hAnsi="Arial" w:cs="Arial"/>
        </w:rPr>
      </w:pPr>
    </w:p>
    <w:p w14:paraId="29AC9020"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In advance with pinpoint accuracy with </w:t>
      </w:r>
      <w:proofErr w:type="spellStart"/>
      <w:r>
        <w:rPr>
          <w:rFonts w:ascii="Arial" w:hAnsi="Arial"/>
          <w:b/>
        </w:rPr>
        <w:t>DirectInject</w:t>
      </w:r>
      <w:proofErr w:type="spellEnd"/>
    </w:p>
    <w:p w14:paraId="5C21E9EC"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DirectInject</w:t>
      </w:r>
      <w:proofErr w:type="spellEnd"/>
      <w:r>
        <w:rPr>
          <w:rFonts w:ascii="Arial" w:hAnsi="Arial"/>
        </w:rPr>
        <w:t xml:space="preserve"> system from AMAZONE enables the needs-based supply of plant protection agents during the application, so that specific products and agents are only applied in patches or to individual areas. With </w:t>
      </w:r>
      <w:proofErr w:type="spellStart"/>
      <w:r>
        <w:rPr>
          <w:rFonts w:ascii="Arial" w:hAnsi="Arial"/>
        </w:rPr>
        <w:t>DirectInject</w:t>
      </w:r>
      <w:proofErr w:type="spellEnd"/>
      <w:r>
        <w:rPr>
          <w:rFonts w:ascii="Arial" w:hAnsi="Arial"/>
        </w:rPr>
        <w:t xml:space="preserve">, it is possible to respond individually to the needs of the crop on the field and reduce the use of plant protection agents and the number of additional passes with the sprayer. The well-known special features of this system include complete integration in the spray agent circuit, ISOBUS control of the sprayer and the extremely short response time. </w:t>
      </w:r>
    </w:p>
    <w:p w14:paraId="1C17FBD2" w14:textId="77777777" w:rsidR="00342AB4" w:rsidRPr="00342AB4" w:rsidRDefault="00342AB4" w:rsidP="00342AB4">
      <w:pPr>
        <w:spacing w:after="120" w:line="360" w:lineRule="auto"/>
        <w:ind w:left="567" w:right="1695"/>
        <w:rPr>
          <w:rFonts w:ascii="Arial" w:eastAsia="Arial" w:hAnsi="Arial" w:cs="Arial"/>
        </w:rPr>
      </w:pPr>
    </w:p>
    <w:p w14:paraId="5F246F25" w14:textId="77777777" w:rsidR="00342AB4" w:rsidRDefault="00342AB4" w:rsidP="00342AB4">
      <w:pPr>
        <w:spacing w:after="120" w:line="360" w:lineRule="auto"/>
        <w:ind w:left="567" w:right="1695"/>
        <w:rPr>
          <w:rFonts w:ascii="Arial" w:eastAsia="Arial" w:hAnsi="Arial" w:cs="Arial"/>
        </w:rPr>
      </w:pPr>
      <w:r>
        <w:rPr>
          <w:rFonts w:ascii="Arial" w:hAnsi="Arial"/>
        </w:rPr>
        <w:t xml:space="preserve">The possibility of metering the additional agent in advance with pinpoint accuracy by means of application maps has now been added. The spray rate of both the agent in the main tank and the agent from the direct feed system can be automatically regulated. The </w:t>
      </w:r>
      <w:proofErr w:type="spellStart"/>
      <w:r>
        <w:rPr>
          <w:rFonts w:ascii="Arial" w:hAnsi="Arial"/>
        </w:rPr>
        <w:t>DirectInject</w:t>
      </w:r>
      <w:proofErr w:type="spellEnd"/>
      <w:r>
        <w:rPr>
          <w:rFonts w:ascii="Arial" w:hAnsi="Arial"/>
        </w:rPr>
        <w:t xml:space="preserve"> agent is pre-metered before arrival in the treatment zone and is immediately available on reaching the zone. The route function from GPS </w:t>
      </w:r>
      <w:proofErr w:type="spellStart"/>
      <w:r>
        <w:rPr>
          <w:rFonts w:ascii="Arial" w:hAnsi="Arial"/>
        </w:rPr>
        <w:t>ScenarioControl</w:t>
      </w:r>
      <w:proofErr w:type="spellEnd"/>
      <w:r>
        <w:rPr>
          <w:rFonts w:ascii="Arial" w:hAnsi="Arial"/>
        </w:rPr>
        <w:t xml:space="preserve">, which represents an add-on for </w:t>
      </w:r>
      <w:proofErr w:type="spellStart"/>
      <w:r>
        <w:rPr>
          <w:rFonts w:ascii="Arial" w:hAnsi="Arial"/>
        </w:rPr>
        <w:t>AmaTron</w:t>
      </w:r>
      <w:proofErr w:type="spellEnd"/>
      <w:r>
        <w:rPr>
          <w:rFonts w:ascii="Arial" w:hAnsi="Arial"/>
        </w:rPr>
        <w:t xml:space="preserve"> 4 in combination with the </w:t>
      </w:r>
      <w:proofErr w:type="spellStart"/>
      <w:r>
        <w:rPr>
          <w:rFonts w:ascii="Arial" w:hAnsi="Arial"/>
        </w:rPr>
        <w:t>AmaTron</w:t>
      </w:r>
      <w:proofErr w:type="spellEnd"/>
      <w:r>
        <w:rPr>
          <w:rFonts w:ascii="Arial" w:hAnsi="Arial"/>
        </w:rPr>
        <w:t xml:space="preserve"> Twin App, is used to provide an accurate forecast. It is known which application areas will be passed through next because of the route stored in the scenario and knowledge of the area already treated. This provides optimum small-scale treatment with extremely high precision. </w:t>
      </w:r>
    </w:p>
    <w:p w14:paraId="71266517" w14:textId="77777777" w:rsidR="00342AB4" w:rsidRPr="00342AB4" w:rsidRDefault="00342AB4" w:rsidP="00342AB4">
      <w:pPr>
        <w:spacing w:after="120" w:line="360" w:lineRule="auto"/>
        <w:ind w:left="567" w:right="1695"/>
        <w:rPr>
          <w:rFonts w:ascii="Arial" w:eastAsia="Arial" w:hAnsi="Arial" w:cs="Arial"/>
        </w:rPr>
      </w:pPr>
    </w:p>
    <w:p w14:paraId="13C8BFB4" w14:textId="77777777" w:rsidR="00342AB4" w:rsidRPr="00342AB4" w:rsidRDefault="00342AB4" w:rsidP="00342AB4">
      <w:pPr>
        <w:spacing w:after="120" w:line="360" w:lineRule="auto"/>
        <w:ind w:left="567" w:right="1695"/>
        <w:rPr>
          <w:rFonts w:ascii="Arial" w:eastAsia="Arial" w:hAnsi="Arial" w:cs="Arial"/>
          <w:b/>
          <w:bCs/>
        </w:rPr>
      </w:pPr>
      <w:proofErr w:type="spellStart"/>
      <w:r>
        <w:rPr>
          <w:rFonts w:ascii="Arial" w:hAnsi="Arial"/>
          <w:b/>
        </w:rPr>
        <w:t>MultiMap</w:t>
      </w:r>
      <w:proofErr w:type="spellEnd"/>
      <w:r>
        <w:rPr>
          <w:rFonts w:ascii="Arial" w:hAnsi="Arial"/>
          <w:b/>
        </w:rPr>
        <w:t xml:space="preserve"> – part-area, site-specific application for any medium</w:t>
      </w:r>
    </w:p>
    <w:p w14:paraId="176F070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The application of more than one medium has become commonplace, especially during sowing. The use of several hoppers enables the application of not only seed but also fertiliser, micro-granules, a companion crop or </w:t>
      </w:r>
      <w:proofErr w:type="spellStart"/>
      <w:r>
        <w:rPr>
          <w:rFonts w:ascii="Arial" w:hAnsi="Arial"/>
        </w:rPr>
        <w:t>undersown</w:t>
      </w:r>
      <w:proofErr w:type="spellEnd"/>
      <w:r>
        <w:rPr>
          <w:rFonts w:ascii="Arial" w:hAnsi="Arial"/>
        </w:rPr>
        <w:t xml:space="preserve"> crops at the same time during the same pass. Since the soil conditions, water availability and therefore also the yield potential can sometimes vary greatly within a field, it makes sense to tailor seed and fertiliser rates to these conditions. </w:t>
      </w:r>
    </w:p>
    <w:p w14:paraId="196D5895" w14:textId="77777777" w:rsidR="00342AB4" w:rsidRPr="00342AB4" w:rsidRDefault="00342AB4" w:rsidP="00342AB4">
      <w:pPr>
        <w:spacing w:after="120" w:line="360" w:lineRule="auto"/>
        <w:ind w:left="567" w:right="1695"/>
        <w:rPr>
          <w:rFonts w:ascii="Arial" w:eastAsia="Arial" w:hAnsi="Arial" w:cs="Arial"/>
        </w:rPr>
      </w:pPr>
    </w:p>
    <w:p w14:paraId="12EC1915" w14:textId="77777777" w:rsidR="00342AB4" w:rsidRDefault="00342AB4" w:rsidP="00342AB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MultiMap</w:t>
      </w:r>
      <w:proofErr w:type="spellEnd"/>
      <w:r>
        <w:rPr>
          <w:rFonts w:ascii="Arial" w:hAnsi="Arial"/>
        </w:rPr>
        <w:t xml:space="preserve"> function is a component of the </w:t>
      </w:r>
      <w:proofErr w:type="spellStart"/>
      <w:r>
        <w:rPr>
          <w:rFonts w:ascii="Arial" w:hAnsi="Arial"/>
        </w:rPr>
        <w:t>AmaTron</w:t>
      </w:r>
      <w:proofErr w:type="spellEnd"/>
      <w:r>
        <w:rPr>
          <w:rFonts w:ascii="Arial" w:hAnsi="Arial"/>
        </w:rPr>
        <w:t xml:space="preserve"> 4 terminal licence </w:t>
      </w:r>
      <w:proofErr w:type="spellStart"/>
      <w:r>
        <w:rPr>
          <w:rFonts w:ascii="Arial" w:hAnsi="Arial"/>
        </w:rPr>
        <w:t>GPS-Maps&amp;Doc</w:t>
      </w:r>
      <w:proofErr w:type="spellEnd"/>
      <w:r>
        <w:rPr>
          <w:rFonts w:ascii="Arial" w:hAnsi="Arial"/>
        </w:rPr>
        <w:t xml:space="preserve"> and enables the applied materials to be regulated independently of each other via application maps, so that they are applied on a part-area, site-specific basis. In addition to part-area, site-specific sowing and fertilisation, the coulter pressure can also be regulated depending on the soil quality based on a soil texture map. Variable soil conditions are compensated for and an even seed placement is obtained. </w:t>
      </w:r>
      <w:proofErr w:type="spellStart"/>
      <w:r>
        <w:rPr>
          <w:rFonts w:ascii="Arial" w:hAnsi="Arial"/>
        </w:rPr>
        <w:t>AmaTron</w:t>
      </w:r>
      <w:proofErr w:type="spellEnd"/>
      <w:r>
        <w:rPr>
          <w:rFonts w:ascii="Arial" w:hAnsi="Arial"/>
        </w:rPr>
        <w:t xml:space="preserve"> 4 allows the simultaneous processing of up to 4 application maps. As a result, nothing stands in the way of farming practice adapted to local conditions. </w:t>
      </w:r>
    </w:p>
    <w:p w14:paraId="6859DDC0" w14:textId="77777777" w:rsidR="00342AB4" w:rsidRPr="00342AB4" w:rsidRDefault="00342AB4" w:rsidP="00342AB4">
      <w:pPr>
        <w:spacing w:after="120" w:line="360" w:lineRule="auto"/>
        <w:ind w:left="567" w:right="1695"/>
        <w:rPr>
          <w:rFonts w:ascii="Arial" w:eastAsia="Arial" w:hAnsi="Arial" w:cs="Arial"/>
        </w:rPr>
      </w:pPr>
    </w:p>
    <w:p w14:paraId="068B0303"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GPS </w:t>
      </w:r>
      <w:proofErr w:type="spellStart"/>
      <w:r>
        <w:rPr>
          <w:rFonts w:ascii="Arial" w:hAnsi="Arial"/>
          <w:b/>
        </w:rPr>
        <w:t>ScenarioControl</w:t>
      </w:r>
      <w:proofErr w:type="spellEnd"/>
      <w:r>
        <w:rPr>
          <w:rFonts w:ascii="Arial" w:hAnsi="Arial"/>
          <w:b/>
        </w:rPr>
        <w:t xml:space="preserve"> for the automation of recurring work steps</w:t>
      </w:r>
    </w:p>
    <w:p w14:paraId="1DFF4F67"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When applying fertiliser, drivers have to juggle various tasks. Tasks which are mostly repeated on the field, from fertiliser application to fertiliser application as well as from year to year. This concerns driving and turning in the field on the one hand and the activation and deactivation as well as the selection of the correct border spreading modes and </w:t>
      </w:r>
      <w:proofErr w:type="spellStart"/>
      <w:r>
        <w:rPr>
          <w:rFonts w:ascii="Arial" w:hAnsi="Arial"/>
        </w:rPr>
        <w:t>HeadlandControl</w:t>
      </w:r>
      <w:proofErr w:type="spellEnd"/>
      <w:r>
        <w:rPr>
          <w:rFonts w:ascii="Arial" w:hAnsi="Arial"/>
        </w:rPr>
        <w:t xml:space="preserve"> on the other. These are work steps where drivers have to make a decision and mistakes are the order of the day, especially in the case of inexperienced drivers or drivers unfamiliar with the area. </w:t>
      </w:r>
    </w:p>
    <w:p w14:paraId="6695D691" w14:textId="77777777" w:rsidR="00342AB4" w:rsidRPr="00342AB4" w:rsidRDefault="00342AB4" w:rsidP="00342AB4">
      <w:pPr>
        <w:spacing w:after="120" w:line="360" w:lineRule="auto"/>
        <w:ind w:left="567" w:right="1695"/>
        <w:rPr>
          <w:rFonts w:ascii="Arial" w:eastAsia="Arial" w:hAnsi="Arial" w:cs="Arial"/>
        </w:rPr>
      </w:pPr>
    </w:p>
    <w:p w14:paraId="1D5562B4" w14:textId="77777777" w:rsidR="00342AB4" w:rsidRPr="00342AB4" w:rsidRDefault="00342AB4" w:rsidP="00342AB4">
      <w:pPr>
        <w:spacing w:after="120" w:line="360" w:lineRule="auto"/>
        <w:ind w:left="567" w:right="1695"/>
        <w:rPr>
          <w:rFonts w:ascii="Arial" w:eastAsia="Arial" w:hAnsi="Arial" w:cs="Arial"/>
        </w:rPr>
      </w:pPr>
      <w:r>
        <w:rPr>
          <w:rFonts w:ascii="Arial" w:hAnsi="Arial"/>
        </w:rPr>
        <w:lastRenderedPageBreak/>
        <w:t xml:space="preserve">With GPS </w:t>
      </w:r>
      <w:proofErr w:type="spellStart"/>
      <w:r>
        <w:rPr>
          <w:rFonts w:ascii="Arial" w:hAnsi="Arial"/>
        </w:rPr>
        <w:t>ScenarioControl</w:t>
      </w:r>
      <w:proofErr w:type="spellEnd"/>
      <w:r>
        <w:rPr>
          <w:rFonts w:ascii="Arial" w:hAnsi="Arial"/>
        </w:rPr>
        <w:t xml:space="preserve">, the route and border spreading modes are recorded and geo-referenced on a one-off basis and automatically replayed during subsequent applications to assist the driver. GPS </w:t>
      </w:r>
      <w:proofErr w:type="spellStart"/>
      <w:r>
        <w:rPr>
          <w:rFonts w:ascii="Arial" w:hAnsi="Arial"/>
        </w:rPr>
        <w:t>ScenarioControl</w:t>
      </w:r>
      <w:proofErr w:type="spellEnd"/>
      <w:r>
        <w:rPr>
          <w:rFonts w:ascii="Arial" w:hAnsi="Arial"/>
        </w:rPr>
        <w:t xml:space="preserve"> is an additional application for the </w:t>
      </w:r>
      <w:proofErr w:type="spellStart"/>
      <w:r>
        <w:rPr>
          <w:rFonts w:ascii="Arial" w:hAnsi="Arial"/>
        </w:rPr>
        <w:t>AmaTron</w:t>
      </w:r>
      <w:proofErr w:type="spellEnd"/>
      <w:r>
        <w:rPr>
          <w:rFonts w:ascii="Arial" w:hAnsi="Arial"/>
        </w:rPr>
        <w:t xml:space="preserve"> 4 ISOBUS terminal and can be viewed and operated via the </w:t>
      </w:r>
      <w:proofErr w:type="spellStart"/>
      <w:r>
        <w:rPr>
          <w:rFonts w:ascii="Arial" w:hAnsi="Arial"/>
        </w:rPr>
        <w:t>AmaTron</w:t>
      </w:r>
      <w:proofErr w:type="spellEnd"/>
      <w:r>
        <w:rPr>
          <w:rFonts w:ascii="Arial" w:hAnsi="Arial"/>
        </w:rPr>
        <w:t xml:space="preserve"> Twin display extension. In the </w:t>
      </w:r>
      <w:proofErr w:type="spellStart"/>
      <w:r>
        <w:rPr>
          <w:rFonts w:ascii="Arial" w:hAnsi="Arial"/>
        </w:rPr>
        <w:t>AmaTron</w:t>
      </w:r>
      <w:proofErr w:type="spellEnd"/>
      <w:r>
        <w:rPr>
          <w:rFonts w:ascii="Arial" w:hAnsi="Arial"/>
        </w:rPr>
        <w:t xml:space="preserve"> Twin App, the route is clearly displayed to the driver and the stored border spreading setting is automatically activated or deactivated on passing a switch point. This ensures error-free and legally-compliant fertiliser application as well as making the work easier.</w:t>
      </w:r>
    </w:p>
    <w:p w14:paraId="6FB847B0" w14:textId="77777777" w:rsidR="00342AB4" w:rsidRPr="00342AB4" w:rsidRDefault="00342AB4" w:rsidP="00342AB4">
      <w:pPr>
        <w:spacing w:after="120" w:line="360" w:lineRule="auto"/>
        <w:ind w:left="567" w:right="1695"/>
        <w:rPr>
          <w:rFonts w:ascii="Arial" w:eastAsia="Arial" w:hAnsi="Arial" w:cs="Arial"/>
        </w:rPr>
      </w:pPr>
    </w:p>
    <w:p w14:paraId="0BA322E7" w14:textId="77777777" w:rsidR="00342AB4" w:rsidRDefault="00342AB4" w:rsidP="00342AB4">
      <w:pPr>
        <w:spacing w:after="120" w:line="360" w:lineRule="auto"/>
        <w:ind w:left="567" w:right="1695"/>
        <w:rPr>
          <w:rFonts w:ascii="Arial" w:eastAsia="Arial" w:hAnsi="Arial" w:cs="Arial"/>
        </w:rPr>
      </w:pPr>
      <w:r>
        <w:rPr>
          <w:rFonts w:ascii="Arial" w:hAnsi="Arial"/>
        </w:rPr>
        <w:t>Furthermore, the route function is not restricted to the fertiliser application but can be used with any desired connected implement. Once stored in the scenario, the route can also be used, for example, for the application of plant protection agents, thereby ensuring the same routes in the field at all times and preventing the flattening of crops by taking wrong turns in tramlines. Combined with the use of application maps, the route function enables spot-accurate metering of the additional agent.</w:t>
      </w:r>
    </w:p>
    <w:p w14:paraId="5417720C" w14:textId="77777777" w:rsidR="00342AB4" w:rsidRPr="00342AB4" w:rsidRDefault="00342AB4" w:rsidP="00342AB4">
      <w:pPr>
        <w:spacing w:after="120" w:line="360" w:lineRule="auto"/>
        <w:ind w:left="567" w:right="1695"/>
        <w:rPr>
          <w:rFonts w:ascii="Arial" w:eastAsia="Arial" w:hAnsi="Arial" w:cs="Arial"/>
        </w:rPr>
      </w:pPr>
    </w:p>
    <w:p w14:paraId="0C7EA40E" w14:textId="77777777" w:rsidR="00342AB4" w:rsidRPr="00342AB4" w:rsidRDefault="00342AB4" w:rsidP="00342AB4">
      <w:pPr>
        <w:spacing w:after="120" w:line="360" w:lineRule="auto"/>
        <w:ind w:left="567" w:right="1695"/>
        <w:rPr>
          <w:rFonts w:ascii="Arial" w:eastAsia="Arial" w:hAnsi="Arial" w:cs="Arial"/>
          <w:b/>
          <w:bCs/>
        </w:rPr>
      </w:pPr>
      <w:r>
        <w:rPr>
          <w:rFonts w:ascii="Arial" w:hAnsi="Arial"/>
          <w:b/>
        </w:rPr>
        <w:t xml:space="preserve">Sharing job data from </w:t>
      </w:r>
      <w:proofErr w:type="spellStart"/>
      <w:r>
        <w:rPr>
          <w:rFonts w:ascii="Arial" w:hAnsi="Arial"/>
          <w:b/>
        </w:rPr>
        <w:t>AmaTron</w:t>
      </w:r>
      <w:proofErr w:type="spellEnd"/>
      <w:r>
        <w:rPr>
          <w:rFonts w:ascii="Arial" w:hAnsi="Arial"/>
          <w:b/>
        </w:rPr>
        <w:t xml:space="preserve"> 4 via smartphone</w:t>
      </w:r>
    </w:p>
    <w:p w14:paraId="71686009" w14:textId="77777777" w:rsidR="00342AB4" w:rsidRPr="00342AB4" w:rsidRDefault="00342AB4" w:rsidP="00342AB4">
      <w:pPr>
        <w:spacing w:after="120" w:line="360" w:lineRule="auto"/>
        <w:ind w:left="567" w:right="1695"/>
        <w:rPr>
          <w:rFonts w:ascii="Arial" w:eastAsia="Arial" w:hAnsi="Arial" w:cs="Arial"/>
        </w:rPr>
      </w:pPr>
      <w:r>
        <w:rPr>
          <w:rFonts w:ascii="Arial" w:hAnsi="Arial"/>
        </w:rPr>
        <w:t xml:space="preserve">If job data is to be used in </w:t>
      </w:r>
      <w:proofErr w:type="spellStart"/>
      <w:r>
        <w:rPr>
          <w:rFonts w:ascii="Arial" w:hAnsi="Arial"/>
        </w:rPr>
        <w:t>AmaTron</w:t>
      </w:r>
      <w:proofErr w:type="spellEnd"/>
      <w:r>
        <w:rPr>
          <w:rFonts w:ascii="Arial" w:hAnsi="Arial"/>
        </w:rPr>
        <w:t xml:space="preserve"> 4, in order, for instance, to carry out part-area, site-specific application, there are various ways of importing it to the terminal and exporting it after work has been completed for the purposes of documentation. The usual method is to insert a USB stick in the </w:t>
      </w:r>
      <w:proofErr w:type="spellStart"/>
      <w:r>
        <w:rPr>
          <w:rFonts w:ascii="Arial" w:hAnsi="Arial"/>
        </w:rPr>
        <w:t>AmaTron</w:t>
      </w:r>
      <w:proofErr w:type="spellEnd"/>
      <w:r>
        <w:rPr>
          <w:rFonts w:ascii="Arial" w:hAnsi="Arial"/>
        </w:rPr>
        <w:t xml:space="preserve"> 4, so that jobs can be exchanged. </w:t>
      </w:r>
      <w:proofErr w:type="spellStart"/>
      <w:r>
        <w:rPr>
          <w:rFonts w:ascii="Arial" w:hAnsi="Arial"/>
        </w:rPr>
        <w:t>AmaTron</w:t>
      </w:r>
      <w:proofErr w:type="spellEnd"/>
      <w:r>
        <w:rPr>
          <w:rFonts w:ascii="Arial" w:hAnsi="Arial"/>
        </w:rPr>
        <w:t xml:space="preserve"> 4 is able to process job data in both ISO-XML format and from a Shape file. An ISO-XML </w:t>
      </w:r>
      <w:proofErr w:type="spellStart"/>
      <w:r>
        <w:rPr>
          <w:rFonts w:ascii="Arial" w:hAnsi="Arial"/>
        </w:rPr>
        <w:t>TaskSet</w:t>
      </w:r>
      <w:proofErr w:type="spellEnd"/>
      <w:r>
        <w:rPr>
          <w:rFonts w:ascii="Arial" w:hAnsi="Arial"/>
        </w:rPr>
        <w:t xml:space="preserve"> can be exported for the purposes of documentation or a PDF export of the work can be easily and comfortably created and saved on the USB stick. The PDF export can be viewed on the computer and saved or printed out. The option of using the </w:t>
      </w:r>
      <w:proofErr w:type="spellStart"/>
      <w:r>
        <w:rPr>
          <w:rFonts w:ascii="Arial" w:hAnsi="Arial"/>
        </w:rPr>
        <w:t>agrirouter</w:t>
      </w:r>
      <w:proofErr w:type="spellEnd"/>
      <w:r>
        <w:rPr>
          <w:rFonts w:ascii="Arial" w:hAnsi="Arial"/>
        </w:rPr>
        <w:t xml:space="preserve"> as a data exchange interface for exchanging job data online with </w:t>
      </w:r>
      <w:proofErr w:type="spellStart"/>
      <w:r>
        <w:rPr>
          <w:rFonts w:ascii="Arial" w:hAnsi="Arial"/>
        </w:rPr>
        <w:t>AmaTron</w:t>
      </w:r>
      <w:proofErr w:type="spellEnd"/>
      <w:r>
        <w:rPr>
          <w:rFonts w:ascii="Arial" w:hAnsi="Arial"/>
        </w:rPr>
        <w:t xml:space="preserve"> 4 by means of the AMAZONE </w:t>
      </w:r>
      <w:proofErr w:type="spellStart"/>
      <w:r>
        <w:rPr>
          <w:rFonts w:ascii="Arial" w:hAnsi="Arial"/>
        </w:rPr>
        <w:t>myAmaRouter</w:t>
      </w:r>
      <w:proofErr w:type="spellEnd"/>
      <w:r>
        <w:rPr>
          <w:rFonts w:ascii="Arial" w:hAnsi="Arial"/>
        </w:rPr>
        <w:t xml:space="preserve"> App already exists. This simplifies data exchange and avoids the need for a USB stick. </w:t>
      </w:r>
    </w:p>
    <w:p w14:paraId="4C3926E4" w14:textId="77777777" w:rsidR="00342AB4" w:rsidRPr="00342AB4" w:rsidRDefault="00342AB4" w:rsidP="00342AB4">
      <w:pPr>
        <w:spacing w:after="120" w:line="360" w:lineRule="auto"/>
        <w:ind w:left="567" w:right="1695"/>
        <w:rPr>
          <w:rFonts w:ascii="Arial" w:eastAsia="Arial" w:hAnsi="Arial" w:cs="Arial"/>
        </w:rPr>
      </w:pPr>
    </w:p>
    <w:p w14:paraId="79E1FFB6" w14:textId="4795C8C7" w:rsidR="00A574DC" w:rsidRDefault="00342AB4" w:rsidP="00342AB4">
      <w:pPr>
        <w:spacing w:after="120" w:line="360" w:lineRule="auto"/>
        <w:ind w:left="567" w:right="1695"/>
        <w:rPr>
          <w:rFonts w:ascii="Arial" w:eastAsia="Arial" w:hAnsi="Arial" w:cs="Arial"/>
        </w:rPr>
      </w:pPr>
      <w:r>
        <w:rPr>
          <w:rFonts w:ascii="Arial" w:hAnsi="Arial"/>
        </w:rPr>
        <w:t xml:space="preserve">AMAZONE has now made data exchange with </w:t>
      </w:r>
      <w:proofErr w:type="spellStart"/>
      <w:r>
        <w:rPr>
          <w:rFonts w:ascii="Arial" w:hAnsi="Arial"/>
        </w:rPr>
        <w:t>AmaTron</w:t>
      </w:r>
      <w:proofErr w:type="spellEnd"/>
      <w:r>
        <w:rPr>
          <w:rFonts w:ascii="Arial" w:hAnsi="Arial"/>
        </w:rPr>
        <w:t xml:space="preserve"> 4 even simpler, with the result that job data can be sent easily and comfortably to the </w:t>
      </w:r>
      <w:proofErr w:type="spellStart"/>
      <w:r>
        <w:rPr>
          <w:rFonts w:ascii="Arial" w:hAnsi="Arial"/>
        </w:rPr>
        <w:t>AmaTron</w:t>
      </w:r>
      <w:proofErr w:type="spellEnd"/>
      <w:r>
        <w:rPr>
          <w:rFonts w:ascii="Arial" w:hAnsi="Arial"/>
        </w:rPr>
        <w:t xml:space="preserve"> 4 via a smartphone and also accessed by the </w:t>
      </w:r>
      <w:proofErr w:type="spellStart"/>
      <w:r>
        <w:rPr>
          <w:rFonts w:ascii="Arial" w:hAnsi="Arial"/>
        </w:rPr>
        <w:t>AmaTron</w:t>
      </w:r>
      <w:proofErr w:type="spellEnd"/>
      <w:r>
        <w:rPr>
          <w:rFonts w:ascii="Arial" w:hAnsi="Arial"/>
        </w:rPr>
        <w:t xml:space="preserve"> 4. This sharing function is already known from smartphone use and is enabled via the </w:t>
      </w:r>
      <w:proofErr w:type="spellStart"/>
      <w:r>
        <w:rPr>
          <w:rFonts w:ascii="Arial" w:hAnsi="Arial"/>
        </w:rPr>
        <w:t>myAmaRouter</w:t>
      </w:r>
      <w:proofErr w:type="spellEnd"/>
      <w:r>
        <w:rPr>
          <w:rFonts w:ascii="Arial" w:hAnsi="Arial"/>
        </w:rPr>
        <w:t xml:space="preserve"> App. An </w:t>
      </w:r>
      <w:proofErr w:type="spellStart"/>
      <w:r>
        <w:rPr>
          <w:rFonts w:ascii="Arial" w:hAnsi="Arial"/>
        </w:rPr>
        <w:t>agrirouter</w:t>
      </w:r>
      <w:proofErr w:type="spellEnd"/>
      <w:r>
        <w:rPr>
          <w:rFonts w:ascii="Arial" w:hAnsi="Arial"/>
        </w:rPr>
        <w:t xml:space="preserve"> connection is not required for this but is possible. Both ISO-XML and Shape files can be shared from email services and standard messenger services and transferred directly to the </w:t>
      </w:r>
      <w:proofErr w:type="spellStart"/>
      <w:r>
        <w:rPr>
          <w:rFonts w:ascii="Arial" w:hAnsi="Arial"/>
        </w:rPr>
        <w:t>AmaTron</w:t>
      </w:r>
      <w:proofErr w:type="spellEnd"/>
      <w:r>
        <w:rPr>
          <w:rFonts w:ascii="Arial" w:hAnsi="Arial"/>
        </w:rPr>
        <w:t xml:space="preserve"> 4. This function also allows completed jobs in </w:t>
      </w:r>
      <w:proofErr w:type="spellStart"/>
      <w:r>
        <w:rPr>
          <w:rFonts w:ascii="Arial" w:hAnsi="Arial"/>
        </w:rPr>
        <w:t>AmaTron</w:t>
      </w:r>
      <w:proofErr w:type="spellEnd"/>
      <w:r>
        <w:rPr>
          <w:rFonts w:ascii="Arial" w:hAnsi="Arial"/>
        </w:rPr>
        <w:t xml:space="preserve"> 4 to be exported from the terminal in ISO-XML or pdf format and shared as desired via a smartphone. This further facilitates data exchange and ensures a high degree of flexibility between the map creator (e.g. farm manager) and the driver.</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Pr="00F92344" w:rsidRDefault="00342AB4" w:rsidP="00342AB4">
      <w:pPr>
        <w:spacing w:after="120" w:line="360" w:lineRule="auto"/>
        <w:ind w:left="567" w:right="1695"/>
        <w:rPr>
          <w:rFonts w:ascii="Arial" w:eastAsia="Arial" w:hAnsi="Arial" w:cs="Arial"/>
        </w:rPr>
      </w:pPr>
    </w:p>
    <w:p w14:paraId="3EACD222" w14:textId="77777777" w:rsidR="00342AB4" w:rsidRDefault="00342AB4" w:rsidP="00342AB4">
      <w:pPr>
        <w:spacing w:after="120" w:line="360" w:lineRule="auto"/>
        <w:ind w:left="567" w:right="1695"/>
        <w:rPr>
          <w:rFonts w:ascii="Arial" w:eastAsia="Arial" w:hAnsi="Arial" w:cs="Arial"/>
        </w:rPr>
      </w:pPr>
      <w:r>
        <w:rPr>
          <w:rFonts w:ascii="Arial" w:hAnsi="Arial"/>
          <w:noProof/>
          <w:lang w:val="de-DE"/>
        </w:rPr>
        <w:drawing>
          <wp:inline distT="0" distB="0" distL="0" distR="0" wp14:anchorId="596C075F" wp14:editId="2063BDFA">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19504F9" w14:textId="417EED6A"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proofErr w:type="spellStart"/>
      <w:r>
        <w:rPr>
          <w:rFonts w:ascii="Arial" w:hAnsi="Arial"/>
        </w:rPr>
        <w:t>AmaTron</w:t>
      </w:r>
      <w:proofErr w:type="spellEnd"/>
      <w:r>
        <w:rPr>
          <w:rFonts w:ascii="Arial" w:hAnsi="Arial"/>
        </w:rPr>
        <w:t xml:space="preserve"> 4 ISOBUS terminal offers 5 innovative additional functions for precision farming </w:t>
      </w:r>
    </w:p>
    <w:p w14:paraId="5CECA603" w14:textId="3785122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Comfortable and precise cultivation of part-areas down to the individual plant </w:t>
      </w:r>
    </w:p>
    <w:p w14:paraId="7DA9ADF5" w14:textId="014BBA85"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 xml:space="preserve">Reduced workload and more flexibility through simplified digital data management and automated switching operations </w:t>
      </w:r>
    </w:p>
    <w:p w14:paraId="71838D48" w14:textId="0C238B03" w:rsidR="00342AB4" w:rsidRPr="00175249" w:rsidRDefault="00342AB4" w:rsidP="00175249">
      <w:pPr>
        <w:pStyle w:val="Listenabsatz"/>
        <w:numPr>
          <w:ilvl w:val="0"/>
          <w:numId w:val="37"/>
        </w:numPr>
        <w:tabs>
          <w:tab w:val="left" w:pos="3550"/>
        </w:tabs>
        <w:spacing w:line="360" w:lineRule="auto"/>
        <w:ind w:right="1128"/>
        <w:rPr>
          <w:rFonts w:ascii="Arial" w:eastAsia="Arial" w:hAnsi="Arial" w:cs="Arial"/>
        </w:rPr>
      </w:pPr>
      <w:r>
        <w:rPr>
          <w:rFonts w:ascii="Arial" w:hAnsi="Arial"/>
        </w:rPr>
        <w:t>Optimised and resource-conserving use of inputs</w:t>
      </w:r>
    </w:p>
    <w:p w14:paraId="65730644" w14:textId="77777777" w:rsidR="00342AB4" w:rsidRDefault="00342AB4" w:rsidP="00175249">
      <w:pPr>
        <w:tabs>
          <w:tab w:val="left" w:pos="3550"/>
        </w:tabs>
        <w:spacing w:line="360" w:lineRule="auto"/>
        <w:ind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00FECEC8" w14:textId="40A242D9"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lastRenderedPageBreak/>
        <w:drawing>
          <wp:inline distT="0" distB="0" distL="0" distR="0" wp14:anchorId="2BEB463E" wp14:editId="210E03A7">
            <wp:extent cx="4262400" cy="2880000"/>
            <wp:effectExtent l="0" t="0" r="5080" b="3175"/>
            <wp:docPr id="20888652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65225" name="Grafik 20888652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7EF103DC" w:rsidR="00420C2E" w:rsidRDefault="00342AB4" w:rsidP="00161FDD">
      <w:pPr>
        <w:tabs>
          <w:tab w:val="left" w:pos="3550"/>
        </w:tabs>
        <w:spacing w:line="360" w:lineRule="auto"/>
        <w:ind w:left="567" w:right="1128"/>
        <w:rPr>
          <w:rFonts w:ascii="Arial" w:eastAsia="Arial" w:hAnsi="Arial" w:cs="Arial"/>
        </w:rPr>
      </w:pPr>
      <w:r>
        <w:rPr>
          <w:rFonts w:ascii="Arial" w:hAnsi="Arial"/>
          <w:noProof/>
          <w:lang w:val="de-DE"/>
        </w:rPr>
        <w:drawing>
          <wp:inline distT="0" distB="0" distL="0" distR="0" wp14:anchorId="7F2E12CB" wp14:editId="138CF134">
            <wp:extent cx="2084400" cy="2880000"/>
            <wp:effectExtent l="0" t="0" r="0" b="3175"/>
            <wp:docPr id="16195142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14294" name="Grafik 16195142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84400" cy="2880000"/>
                    </a:xfrm>
                    <a:prstGeom prst="rect">
                      <a:avLst/>
                    </a:prstGeom>
                  </pic:spPr>
                </pic:pic>
              </a:graphicData>
            </a:graphic>
          </wp:inline>
        </w:drawing>
      </w:r>
    </w:p>
    <w:p w14:paraId="39E9159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Comfortable processing of spot application maps. In addition to the </w:t>
      </w:r>
      <w:proofErr w:type="spellStart"/>
      <w:r>
        <w:rPr>
          <w:rFonts w:ascii="Arial" w:hAnsi="Arial"/>
        </w:rPr>
        <w:t>AmaTron</w:t>
      </w:r>
      <w:proofErr w:type="spellEnd"/>
      <w:r>
        <w:rPr>
          <w:rFonts w:ascii="Arial" w:hAnsi="Arial"/>
        </w:rPr>
        <w:t xml:space="preserve"> 4 machine operation menu, the driver always has the spot map in view in the </w:t>
      </w:r>
      <w:proofErr w:type="spellStart"/>
      <w:r>
        <w:rPr>
          <w:rFonts w:ascii="Arial" w:hAnsi="Arial"/>
        </w:rPr>
        <w:t>AmaTron</w:t>
      </w:r>
      <w:proofErr w:type="spellEnd"/>
      <w:r>
        <w:rPr>
          <w:rFonts w:ascii="Arial" w:hAnsi="Arial"/>
        </w:rPr>
        <w:t xml:space="preserve"> Twin App</w:t>
      </w:r>
    </w:p>
    <w:p w14:paraId="0179A7DA" w14:textId="77777777" w:rsidR="0089279D" w:rsidRDefault="0089279D" w:rsidP="00161FDD">
      <w:pPr>
        <w:tabs>
          <w:tab w:val="left" w:pos="3550"/>
        </w:tabs>
        <w:spacing w:line="360" w:lineRule="auto"/>
        <w:ind w:left="567" w:right="1128"/>
        <w:rPr>
          <w:rFonts w:ascii="Arial" w:eastAsia="Arial" w:hAnsi="Arial" w:cs="Arial"/>
        </w:rPr>
      </w:pPr>
    </w:p>
    <w:p w14:paraId="35BA1566" w14:textId="77777777" w:rsidR="00342AB4" w:rsidRDefault="00342AB4" w:rsidP="00161FDD">
      <w:pPr>
        <w:tabs>
          <w:tab w:val="left" w:pos="3550"/>
        </w:tabs>
        <w:spacing w:line="360" w:lineRule="auto"/>
        <w:ind w:left="567" w:right="1128"/>
        <w:rPr>
          <w:rFonts w:ascii="Arial" w:eastAsia="Arial" w:hAnsi="Arial" w:cs="Arial"/>
        </w:rPr>
      </w:pPr>
    </w:p>
    <w:p w14:paraId="5D203916" w14:textId="6E7FB601" w:rsidR="00342AB4" w:rsidRPr="005A78F9" w:rsidRDefault="005A78F9"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4763954" wp14:editId="3F797643">
            <wp:extent cx="6120000" cy="2109600"/>
            <wp:effectExtent l="0" t="0" r="1905" b="0"/>
            <wp:docPr id="17555899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89942" name="Grafik 175558994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1DD2142"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The response time is automatically calculated when using application maps and the </w:t>
      </w:r>
      <w:proofErr w:type="spellStart"/>
      <w:r>
        <w:rPr>
          <w:rFonts w:ascii="Arial" w:hAnsi="Arial"/>
        </w:rPr>
        <w:t>DirectInject</w:t>
      </w:r>
      <w:proofErr w:type="spellEnd"/>
      <w:r>
        <w:rPr>
          <w:rFonts w:ascii="Arial" w:hAnsi="Arial"/>
        </w:rPr>
        <w:t xml:space="preserve"> agent is precisely metered </w:t>
      </w:r>
      <w:proofErr w:type="gramStart"/>
      <w:r>
        <w:rPr>
          <w:rFonts w:ascii="Arial" w:hAnsi="Arial"/>
        </w:rPr>
        <w:t>on the basis of</w:t>
      </w:r>
      <w:proofErr w:type="gramEnd"/>
      <w:r>
        <w:rPr>
          <w:rFonts w:ascii="Arial" w:hAnsi="Arial"/>
        </w:rPr>
        <w:t xml:space="preserve"> the already worked area and the route function of GPS </w:t>
      </w:r>
      <w:proofErr w:type="spellStart"/>
      <w:r>
        <w:rPr>
          <w:rFonts w:ascii="Arial" w:hAnsi="Arial"/>
        </w:rPr>
        <w:t>ScenarioControl</w:t>
      </w:r>
      <w:proofErr w:type="spellEnd"/>
      <w:r>
        <w:rPr>
          <w:rFonts w:ascii="Arial" w:hAnsi="Arial"/>
        </w:rPr>
        <w:t>.</w:t>
      </w:r>
    </w:p>
    <w:p w14:paraId="55C8A72B" w14:textId="77777777" w:rsidR="00342AB4" w:rsidRDefault="00342AB4" w:rsidP="00161FDD">
      <w:pPr>
        <w:tabs>
          <w:tab w:val="left" w:pos="3550"/>
        </w:tabs>
        <w:spacing w:line="360" w:lineRule="auto"/>
        <w:ind w:left="567" w:right="1128"/>
        <w:rPr>
          <w:rFonts w:ascii="Arial" w:eastAsia="Arial" w:hAnsi="Arial" w:cs="Arial"/>
        </w:rPr>
      </w:pPr>
    </w:p>
    <w:p w14:paraId="163CE727" w14:textId="77777777" w:rsidR="00342AB4" w:rsidRDefault="00342AB4" w:rsidP="00161FDD">
      <w:pPr>
        <w:tabs>
          <w:tab w:val="left" w:pos="3550"/>
        </w:tabs>
        <w:spacing w:line="360" w:lineRule="auto"/>
        <w:ind w:left="567" w:right="1128"/>
        <w:rPr>
          <w:rFonts w:ascii="Arial" w:eastAsia="Arial" w:hAnsi="Arial" w:cs="Arial"/>
        </w:rPr>
      </w:pPr>
    </w:p>
    <w:p w14:paraId="3F6E4527" w14:textId="7C3EA4B5"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drawing>
          <wp:inline distT="0" distB="0" distL="0" distR="0" wp14:anchorId="0A41A187" wp14:editId="524AAB3F">
            <wp:extent cx="6120000" cy="2563200"/>
            <wp:effectExtent l="0" t="0" r="1905" b="2540"/>
            <wp:docPr id="145679312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3123" name="Grafik 14567931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563200"/>
                    </a:xfrm>
                    <a:prstGeom prst="rect">
                      <a:avLst/>
                    </a:prstGeom>
                  </pic:spPr>
                </pic:pic>
              </a:graphicData>
            </a:graphic>
          </wp:inline>
        </w:drawing>
      </w:r>
    </w:p>
    <w:p w14:paraId="27DEF16D"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Weed patches can be individually and precisely treated in the field by means of </w:t>
      </w:r>
      <w:proofErr w:type="spellStart"/>
      <w:r>
        <w:rPr>
          <w:rFonts w:ascii="Arial" w:hAnsi="Arial"/>
        </w:rPr>
        <w:t>DirectInject</w:t>
      </w:r>
      <w:proofErr w:type="spellEnd"/>
      <w:r>
        <w:rPr>
          <w:rFonts w:ascii="Arial" w:hAnsi="Arial"/>
        </w:rPr>
        <w:t xml:space="preserve"> and the use of application maps. </w:t>
      </w:r>
    </w:p>
    <w:p w14:paraId="677B8466" w14:textId="7818ABBB" w:rsidR="00342AB4" w:rsidRDefault="00342AB4" w:rsidP="00161FDD">
      <w:pPr>
        <w:tabs>
          <w:tab w:val="left" w:pos="3550"/>
        </w:tabs>
        <w:spacing w:line="360" w:lineRule="auto"/>
        <w:ind w:left="567" w:right="1128"/>
        <w:rPr>
          <w:rFonts w:ascii="Arial" w:eastAsia="Arial" w:hAnsi="Arial" w:cs="Arial"/>
        </w:rPr>
      </w:pPr>
    </w:p>
    <w:p w14:paraId="702CF578" w14:textId="77777777" w:rsidR="00342AB4" w:rsidRDefault="00342AB4" w:rsidP="00161FDD">
      <w:pPr>
        <w:tabs>
          <w:tab w:val="left" w:pos="3550"/>
        </w:tabs>
        <w:spacing w:line="360" w:lineRule="auto"/>
        <w:ind w:left="567" w:right="1128"/>
        <w:rPr>
          <w:rFonts w:ascii="Arial" w:eastAsia="Arial" w:hAnsi="Arial" w:cs="Arial"/>
        </w:rPr>
      </w:pPr>
    </w:p>
    <w:p w14:paraId="1B216F36" w14:textId="36022B78"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lastRenderedPageBreak/>
        <w:drawing>
          <wp:inline distT="0" distB="0" distL="0" distR="0" wp14:anchorId="0C4A7C87" wp14:editId="54977AB1">
            <wp:extent cx="6120000" cy="2109600"/>
            <wp:effectExtent l="0" t="0" r="1905" b="0"/>
            <wp:docPr id="128189712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97121" name="Grafik 12818971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6EF34"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Soil differences can be considered on a part-area, site-specific basis and yield potentials exploited to the full. </w:t>
      </w:r>
    </w:p>
    <w:p w14:paraId="671E4742" w14:textId="77777777" w:rsidR="00342AB4" w:rsidRDefault="00342AB4" w:rsidP="00161FDD">
      <w:pPr>
        <w:tabs>
          <w:tab w:val="left" w:pos="3550"/>
        </w:tabs>
        <w:spacing w:line="360" w:lineRule="auto"/>
        <w:ind w:left="567" w:right="1128"/>
        <w:rPr>
          <w:rFonts w:ascii="Arial" w:eastAsia="Arial" w:hAnsi="Arial" w:cs="Arial"/>
        </w:rPr>
      </w:pPr>
    </w:p>
    <w:p w14:paraId="2E6A2B00" w14:textId="77777777" w:rsidR="00342AB4" w:rsidRDefault="00342AB4" w:rsidP="00161FDD">
      <w:pPr>
        <w:tabs>
          <w:tab w:val="left" w:pos="3550"/>
        </w:tabs>
        <w:spacing w:line="360" w:lineRule="auto"/>
        <w:ind w:left="567" w:right="1128"/>
        <w:rPr>
          <w:rFonts w:ascii="Arial" w:eastAsia="Arial" w:hAnsi="Arial" w:cs="Arial"/>
        </w:rPr>
      </w:pPr>
    </w:p>
    <w:p w14:paraId="3C29244F" w14:textId="1F03F008"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drawing>
          <wp:inline distT="0" distB="0" distL="0" distR="0" wp14:anchorId="751C1C13" wp14:editId="7EC13191">
            <wp:extent cx="3877200" cy="2880000"/>
            <wp:effectExtent l="0" t="0" r="0" b="3175"/>
            <wp:docPr id="2473102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028" name="Grafik 24731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7200" cy="2880000"/>
                    </a:xfrm>
                    <a:prstGeom prst="rect">
                      <a:avLst/>
                    </a:prstGeom>
                  </pic:spPr>
                </pic:pic>
              </a:graphicData>
            </a:graphic>
          </wp:inline>
        </w:drawing>
      </w:r>
    </w:p>
    <w:p w14:paraId="5C9A1D6A"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Up to 4 application maps can be processed at the same time with </w:t>
      </w:r>
      <w:proofErr w:type="spellStart"/>
      <w:r>
        <w:rPr>
          <w:rFonts w:ascii="Arial" w:hAnsi="Arial"/>
        </w:rPr>
        <w:t>AmaTron</w:t>
      </w:r>
      <w:proofErr w:type="spellEnd"/>
      <w:r>
        <w:rPr>
          <w:rFonts w:ascii="Arial" w:hAnsi="Arial"/>
        </w:rPr>
        <w:t xml:space="preserve"> 4. As a result, seed rates, fertiliser quantities and the coulter pressure can be tailored to individual part-areas. </w:t>
      </w:r>
    </w:p>
    <w:p w14:paraId="15EC7472" w14:textId="77777777" w:rsidR="00342AB4" w:rsidRDefault="00342AB4" w:rsidP="00342AB4">
      <w:pPr>
        <w:tabs>
          <w:tab w:val="left" w:pos="3550"/>
        </w:tabs>
        <w:spacing w:line="360" w:lineRule="auto"/>
        <w:ind w:right="1128"/>
        <w:rPr>
          <w:rFonts w:ascii="Arial" w:eastAsia="Arial" w:hAnsi="Arial" w:cs="Arial"/>
        </w:rPr>
      </w:pPr>
    </w:p>
    <w:p w14:paraId="359411A6" w14:textId="77777777" w:rsidR="00342AB4" w:rsidRDefault="00342AB4" w:rsidP="00161FDD">
      <w:pPr>
        <w:tabs>
          <w:tab w:val="left" w:pos="3550"/>
        </w:tabs>
        <w:spacing w:line="360" w:lineRule="auto"/>
        <w:ind w:left="567" w:right="1128"/>
        <w:rPr>
          <w:rFonts w:ascii="Arial" w:eastAsia="Arial" w:hAnsi="Arial" w:cs="Arial"/>
        </w:rPr>
      </w:pPr>
    </w:p>
    <w:p w14:paraId="1E2396CD" w14:textId="6433C508"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lastRenderedPageBreak/>
        <w:drawing>
          <wp:inline distT="0" distB="0" distL="0" distR="0" wp14:anchorId="311AB31A" wp14:editId="23B5566C">
            <wp:extent cx="2408400" cy="2880000"/>
            <wp:effectExtent l="0" t="0" r="5080" b="3175"/>
            <wp:docPr id="4899293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29312" name="Grafik 4899293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08400" cy="2880000"/>
                    </a:xfrm>
                    <a:prstGeom prst="rect">
                      <a:avLst/>
                    </a:prstGeom>
                  </pic:spPr>
                </pic:pic>
              </a:graphicData>
            </a:graphic>
          </wp:inline>
        </w:drawing>
      </w:r>
    </w:p>
    <w:p w14:paraId="72835550"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GPS </w:t>
      </w:r>
      <w:proofErr w:type="spellStart"/>
      <w:r>
        <w:rPr>
          <w:rFonts w:ascii="Arial" w:hAnsi="Arial"/>
        </w:rPr>
        <w:t>ScenarioControl</w:t>
      </w:r>
      <w:proofErr w:type="spellEnd"/>
      <w:r>
        <w:rPr>
          <w:rFonts w:ascii="Arial" w:hAnsi="Arial"/>
        </w:rPr>
        <w:t xml:space="preserve"> is used in conjunction with the </w:t>
      </w:r>
      <w:proofErr w:type="spellStart"/>
      <w:r>
        <w:rPr>
          <w:rFonts w:ascii="Arial" w:hAnsi="Arial"/>
        </w:rPr>
        <w:t>AmaTron</w:t>
      </w:r>
      <w:proofErr w:type="spellEnd"/>
      <w:r>
        <w:rPr>
          <w:rFonts w:ascii="Arial" w:hAnsi="Arial"/>
        </w:rPr>
        <w:t xml:space="preserve"> 4 ISOBUS terminal and the </w:t>
      </w:r>
      <w:proofErr w:type="spellStart"/>
      <w:r>
        <w:rPr>
          <w:rFonts w:ascii="Arial" w:hAnsi="Arial"/>
        </w:rPr>
        <w:t>AmaTron</w:t>
      </w:r>
      <w:proofErr w:type="spellEnd"/>
      <w:r>
        <w:rPr>
          <w:rFonts w:ascii="Arial" w:hAnsi="Arial"/>
        </w:rPr>
        <w:t xml:space="preserve"> Twin App. </w:t>
      </w:r>
    </w:p>
    <w:p w14:paraId="49D1ECBC" w14:textId="77777777" w:rsidR="0089279D" w:rsidRDefault="0089279D" w:rsidP="00161FDD">
      <w:pPr>
        <w:tabs>
          <w:tab w:val="left" w:pos="3550"/>
        </w:tabs>
        <w:spacing w:line="360" w:lineRule="auto"/>
        <w:ind w:left="567" w:right="1128"/>
        <w:rPr>
          <w:rFonts w:ascii="Arial" w:eastAsia="Arial" w:hAnsi="Arial" w:cs="Arial"/>
        </w:rPr>
      </w:pPr>
    </w:p>
    <w:p w14:paraId="4FD96F49" w14:textId="77777777" w:rsidR="00342AB4" w:rsidRDefault="00342AB4" w:rsidP="00161FDD">
      <w:pPr>
        <w:tabs>
          <w:tab w:val="left" w:pos="3550"/>
        </w:tabs>
        <w:spacing w:line="360" w:lineRule="auto"/>
        <w:ind w:left="567" w:right="1128"/>
        <w:rPr>
          <w:rFonts w:ascii="Arial" w:eastAsia="Arial" w:hAnsi="Arial" w:cs="Arial"/>
        </w:rPr>
      </w:pPr>
    </w:p>
    <w:p w14:paraId="03D0AAD3" w14:textId="3E2C1C1E"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drawing>
          <wp:inline distT="0" distB="0" distL="0" distR="0" wp14:anchorId="3D3F7E12" wp14:editId="17975570">
            <wp:extent cx="3837600" cy="2880000"/>
            <wp:effectExtent l="0" t="0" r="0" b="3175"/>
            <wp:docPr id="659499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9025" name="Grafik 6594990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0ADAC0F6"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Field with complete route and saved geo-referenced scenarios. The border spreading modes are automatically activated and deactivated when driving in the field and are stored behind each switch point</w:t>
      </w:r>
    </w:p>
    <w:p w14:paraId="5DCAF9E1" w14:textId="77777777" w:rsidR="00342AB4" w:rsidRDefault="00342AB4" w:rsidP="00175249">
      <w:pPr>
        <w:tabs>
          <w:tab w:val="left" w:pos="3550"/>
        </w:tabs>
        <w:spacing w:line="360" w:lineRule="auto"/>
        <w:ind w:right="1128"/>
        <w:rPr>
          <w:rFonts w:ascii="Arial" w:eastAsia="Arial" w:hAnsi="Arial" w:cs="Arial"/>
        </w:rPr>
      </w:pPr>
    </w:p>
    <w:p w14:paraId="2B9D983B" w14:textId="77777777" w:rsidR="00342AB4" w:rsidRDefault="00342AB4" w:rsidP="00161FDD">
      <w:pPr>
        <w:tabs>
          <w:tab w:val="left" w:pos="3550"/>
        </w:tabs>
        <w:spacing w:line="360" w:lineRule="auto"/>
        <w:ind w:left="567" w:right="1128"/>
        <w:rPr>
          <w:rFonts w:ascii="Arial" w:eastAsia="Arial" w:hAnsi="Arial" w:cs="Arial"/>
        </w:rPr>
      </w:pPr>
    </w:p>
    <w:p w14:paraId="26955DBF" w14:textId="57782AEF"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lastRenderedPageBreak/>
        <w:drawing>
          <wp:inline distT="0" distB="0" distL="0" distR="0" wp14:anchorId="3813FE59" wp14:editId="41EF6235">
            <wp:extent cx="1422000" cy="2880000"/>
            <wp:effectExtent l="0" t="0" r="635" b="3175"/>
            <wp:docPr id="14353469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46988" name="Grafik 143534698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1BB2FE3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The driver receives new job data from the farm manager directly on his or her smartphone via a messenger service.</w:t>
      </w:r>
    </w:p>
    <w:p w14:paraId="7EEE666D" w14:textId="77777777" w:rsidR="00342AB4" w:rsidRDefault="00342AB4" w:rsidP="00161FDD">
      <w:pPr>
        <w:tabs>
          <w:tab w:val="left" w:pos="3550"/>
        </w:tabs>
        <w:spacing w:line="360" w:lineRule="auto"/>
        <w:ind w:left="567" w:right="1128"/>
        <w:rPr>
          <w:rFonts w:ascii="Arial" w:eastAsia="Arial" w:hAnsi="Arial" w:cs="Arial"/>
        </w:rPr>
      </w:pPr>
    </w:p>
    <w:p w14:paraId="07622A18" w14:textId="77777777" w:rsidR="00342AB4" w:rsidRDefault="00342AB4" w:rsidP="00161FDD">
      <w:pPr>
        <w:tabs>
          <w:tab w:val="left" w:pos="3550"/>
        </w:tabs>
        <w:spacing w:line="360" w:lineRule="auto"/>
        <w:ind w:left="567" w:right="1128"/>
        <w:rPr>
          <w:rFonts w:ascii="Arial" w:eastAsia="Arial" w:hAnsi="Arial" w:cs="Arial"/>
        </w:rPr>
      </w:pPr>
    </w:p>
    <w:p w14:paraId="78BE4A6A" w14:textId="0F0F235A"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drawing>
          <wp:inline distT="0" distB="0" distL="0" distR="0" wp14:anchorId="52CBFC13" wp14:editId="5EC18A9C">
            <wp:extent cx="1422000" cy="2880000"/>
            <wp:effectExtent l="0" t="0" r="635" b="3175"/>
            <wp:docPr id="13994933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93336" name="Grafik 13994933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754033C8"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 xml:space="preserve">The driver sends the job to the </w:t>
      </w:r>
      <w:proofErr w:type="spellStart"/>
      <w:r>
        <w:rPr>
          <w:rFonts w:ascii="Arial" w:hAnsi="Arial"/>
        </w:rPr>
        <w:t>myAmaRouter</w:t>
      </w:r>
      <w:proofErr w:type="spellEnd"/>
      <w:r>
        <w:rPr>
          <w:rFonts w:ascii="Arial" w:hAnsi="Arial"/>
        </w:rPr>
        <w:t xml:space="preserve"> App and automatically receives an import request in </w:t>
      </w:r>
      <w:proofErr w:type="spellStart"/>
      <w:r>
        <w:rPr>
          <w:rFonts w:ascii="Arial" w:hAnsi="Arial"/>
        </w:rPr>
        <w:t>AmaTron</w:t>
      </w:r>
      <w:proofErr w:type="spellEnd"/>
      <w:r>
        <w:rPr>
          <w:rFonts w:ascii="Arial" w:hAnsi="Arial"/>
        </w:rPr>
        <w:t xml:space="preserve"> 4 if a hotspot is present.</w:t>
      </w:r>
    </w:p>
    <w:p w14:paraId="13A5A488" w14:textId="77777777" w:rsidR="00342AB4" w:rsidRDefault="00342AB4" w:rsidP="00161FDD">
      <w:pPr>
        <w:tabs>
          <w:tab w:val="left" w:pos="3550"/>
        </w:tabs>
        <w:spacing w:line="360" w:lineRule="auto"/>
        <w:ind w:left="567" w:right="1128"/>
        <w:rPr>
          <w:rFonts w:ascii="Arial" w:eastAsia="Arial" w:hAnsi="Arial" w:cs="Arial"/>
        </w:rPr>
      </w:pPr>
    </w:p>
    <w:p w14:paraId="04EB0BC3" w14:textId="77777777" w:rsidR="00342AB4" w:rsidRDefault="00342AB4" w:rsidP="00161FDD">
      <w:pPr>
        <w:tabs>
          <w:tab w:val="left" w:pos="3550"/>
        </w:tabs>
        <w:spacing w:line="360" w:lineRule="auto"/>
        <w:ind w:left="567" w:right="1128"/>
        <w:rPr>
          <w:rFonts w:ascii="Arial" w:eastAsia="Arial" w:hAnsi="Arial" w:cs="Arial"/>
        </w:rPr>
      </w:pPr>
    </w:p>
    <w:p w14:paraId="49EF80A4" w14:textId="38E9F112" w:rsidR="00342AB4" w:rsidRDefault="00342AB4" w:rsidP="00161FDD">
      <w:pPr>
        <w:tabs>
          <w:tab w:val="left" w:pos="3550"/>
        </w:tabs>
        <w:spacing w:line="360" w:lineRule="auto"/>
        <w:ind w:left="567" w:right="1128"/>
        <w:rPr>
          <w:rFonts w:ascii="Arial" w:eastAsia="Arial" w:hAnsi="Arial" w:cs="Arial"/>
        </w:rPr>
      </w:pPr>
      <w:r>
        <w:rPr>
          <w:rFonts w:ascii="Arial" w:hAnsi="Arial"/>
          <w:noProof/>
          <w:lang w:val="de-DE"/>
        </w:rPr>
        <w:lastRenderedPageBreak/>
        <w:drawing>
          <wp:inline distT="0" distB="0" distL="0" distR="0" wp14:anchorId="01D2042D" wp14:editId="6DFB5A3B">
            <wp:extent cx="1422000" cy="2880000"/>
            <wp:effectExtent l="0" t="0" r="635" b="3175"/>
            <wp:docPr id="9815270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27064" name="Grafik 98152706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22000" cy="2880000"/>
                    </a:xfrm>
                    <a:prstGeom prst="rect">
                      <a:avLst/>
                    </a:prstGeom>
                  </pic:spPr>
                </pic:pic>
              </a:graphicData>
            </a:graphic>
          </wp:inline>
        </w:drawing>
      </w:r>
    </w:p>
    <w:p w14:paraId="57A68553" w14:textId="77777777" w:rsidR="00342AB4" w:rsidRPr="00342AB4" w:rsidRDefault="00342AB4" w:rsidP="00342AB4">
      <w:pPr>
        <w:tabs>
          <w:tab w:val="left" w:pos="3550"/>
        </w:tabs>
        <w:spacing w:line="360" w:lineRule="auto"/>
        <w:ind w:left="567" w:right="1128"/>
        <w:rPr>
          <w:rFonts w:ascii="Arial" w:eastAsia="Arial" w:hAnsi="Arial" w:cs="Arial"/>
        </w:rPr>
      </w:pPr>
      <w:r>
        <w:rPr>
          <w:rFonts w:ascii="Arial" w:hAnsi="Arial"/>
        </w:rPr>
        <w:t>The driver can export the completed job from the terminal and send it to the farm manager via a messenger service for documentation.</w:t>
      </w:r>
    </w:p>
    <w:p w14:paraId="495850A1" w14:textId="77777777" w:rsidR="00342AB4" w:rsidRDefault="00342AB4" w:rsidP="00161FDD">
      <w:pPr>
        <w:tabs>
          <w:tab w:val="left" w:pos="3550"/>
        </w:tabs>
        <w:spacing w:line="360" w:lineRule="auto"/>
        <w:ind w:left="567" w:right="1128"/>
        <w:rPr>
          <w:rFonts w:ascii="Arial" w:eastAsia="Arial" w:hAnsi="Arial" w:cs="Arial"/>
        </w:rPr>
      </w:pPr>
    </w:p>
    <w:p w14:paraId="65173C3B" w14:textId="77777777" w:rsidR="00342AB4" w:rsidRDefault="00342AB4" w:rsidP="00161FDD">
      <w:pPr>
        <w:tabs>
          <w:tab w:val="left" w:pos="3550"/>
        </w:tabs>
        <w:spacing w:line="360" w:lineRule="auto"/>
        <w:ind w:left="567" w:right="1128"/>
        <w:rPr>
          <w:rFonts w:ascii="Arial" w:eastAsia="Arial" w:hAnsi="Arial" w:cs="Arial"/>
        </w:rPr>
      </w:pP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4C118001" w14:textId="77777777" w:rsidR="00637396" w:rsidRDefault="00637396" w:rsidP="00342AB4">
      <w:pPr>
        <w:tabs>
          <w:tab w:val="left" w:pos="3550"/>
        </w:tabs>
        <w:spacing w:line="360" w:lineRule="auto"/>
        <w:ind w:right="1128"/>
        <w:rPr>
          <w:rFonts w:ascii="Arial" w:eastAsia="Arial" w:hAnsi="Arial" w:cs="Arial"/>
        </w:rPr>
      </w:pPr>
    </w:p>
    <w:p w14:paraId="0144C57D" w14:textId="77777777" w:rsidR="00637396" w:rsidRDefault="00637396"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20"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7FD5B158">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07E6D5D7">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2E61F27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679BB85A">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774F6FE2">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6"/>
      <w:headerReference w:type="default" r:id="rId37"/>
      <w:footerReference w:type="even" r:id="rId38"/>
      <w:footerReference w:type="default" r:id="rId39"/>
      <w:headerReference w:type="first" r:id="rId40"/>
      <w:footerReference w:type="first" r:id="rId4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8E7F9" w14:textId="77777777" w:rsidR="000D2E70" w:rsidRDefault="000D2E70">
      <w:r>
        <w:separator/>
      </w:r>
    </w:p>
  </w:endnote>
  <w:endnote w:type="continuationSeparator" w:id="0">
    <w:p w14:paraId="680C992E" w14:textId="77777777" w:rsidR="000D2E70" w:rsidRDefault="000D2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F37A0">
                            <w:rPr>
                              <w:rFonts w:ascii="Arial" w:hAnsi="Arial"/>
                              <w:noProof/>
                              <w:sz w:val="20"/>
                            </w:rPr>
                            <w:t>11</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F37A0">
                            <w:rPr>
                              <w:rFonts w:ascii="Arial" w:hAnsi="Arial"/>
                              <w:noProof/>
                              <w:sz w:val="20"/>
                            </w:rPr>
                            <w:t>11</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F37A0">
                      <w:rPr>
                        <w:rFonts w:ascii="Arial" w:hAnsi="Arial"/>
                        <w:noProof/>
                        <w:sz w:val="20"/>
                      </w:rPr>
                      <w:t>11</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F37A0">
                      <w:rPr>
                        <w:rFonts w:ascii="Arial" w:hAnsi="Arial"/>
                        <w:noProof/>
                        <w:sz w:val="20"/>
                      </w:rPr>
                      <w:t>11</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F37A0" w:rsidRDefault="005E0980" w:rsidP="006F7755">
                          <w:pPr>
                            <w:spacing w:line="280" w:lineRule="exact"/>
                            <w:rPr>
                              <w:rFonts w:ascii="Arial" w:hAnsi="Arial"/>
                              <w:spacing w:val="2"/>
                              <w:sz w:val="20"/>
                              <w:lang w:val="de-DE"/>
                            </w:rPr>
                          </w:pPr>
                          <w:r w:rsidRPr="005F37A0">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2246A" w14:textId="77777777" w:rsidR="000D2E70" w:rsidRDefault="000D2E70">
      <w:r>
        <w:separator/>
      </w:r>
    </w:p>
  </w:footnote>
  <w:footnote w:type="continuationSeparator" w:id="0">
    <w:p w14:paraId="637A1652" w14:textId="77777777" w:rsidR="000D2E70" w:rsidRDefault="000D2E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9"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2"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23A69"/>
    <w:multiLevelType w:val="hybridMultilevel"/>
    <w:tmpl w:val="3E9AF64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2005275597">
    <w:abstractNumId w:val="11"/>
  </w:num>
  <w:num w:numId="2" w16cid:durableId="661347030">
    <w:abstractNumId w:val="0"/>
  </w:num>
  <w:num w:numId="3" w16cid:durableId="1700011849">
    <w:abstractNumId w:val="6"/>
  </w:num>
  <w:num w:numId="4" w16cid:durableId="1576086639">
    <w:abstractNumId w:val="7"/>
  </w:num>
  <w:num w:numId="5" w16cid:durableId="633485459">
    <w:abstractNumId w:val="3"/>
  </w:num>
  <w:num w:numId="6" w16cid:durableId="285548819">
    <w:abstractNumId w:val="1"/>
  </w:num>
  <w:num w:numId="7" w16cid:durableId="173420443">
    <w:abstractNumId w:val="24"/>
  </w:num>
  <w:num w:numId="8" w16cid:durableId="1033531536">
    <w:abstractNumId w:val="20"/>
  </w:num>
  <w:num w:numId="9" w16cid:durableId="1063138913">
    <w:abstractNumId w:val="5"/>
  </w:num>
  <w:num w:numId="10" w16cid:durableId="235214368">
    <w:abstractNumId w:val="13"/>
  </w:num>
  <w:num w:numId="11" w16cid:durableId="609162147">
    <w:abstractNumId w:val="19"/>
  </w:num>
  <w:num w:numId="12" w16cid:durableId="1933317562">
    <w:abstractNumId w:val="25"/>
  </w:num>
  <w:num w:numId="13" w16cid:durableId="679240289">
    <w:abstractNumId w:val="36"/>
  </w:num>
  <w:num w:numId="14" w16cid:durableId="821778948">
    <w:abstractNumId w:val="26"/>
  </w:num>
  <w:num w:numId="15" w16cid:durableId="1444642487">
    <w:abstractNumId w:val="28"/>
  </w:num>
  <w:num w:numId="16" w16cid:durableId="2141144054">
    <w:abstractNumId w:val="4"/>
  </w:num>
  <w:num w:numId="17" w16cid:durableId="225460233">
    <w:abstractNumId w:val="27"/>
  </w:num>
  <w:num w:numId="18" w16cid:durableId="1599676650">
    <w:abstractNumId w:val="34"/>
  </w:num>
  <w:num w:numId="19" w16cid:durableId="839469675">
    <w:abstractNumId w:val="9"/>
  </w:num>
  <w:num w:numId="20" w16cid:durableId="555512259">
    <w:abstractNumId w:val="14"/>
  </w:num>
  <w:num w:numId="21" w16cid:durableId="372267995">
    <w:abstractNumId w:val="15"/>
  </w:num>
  <w:num w:numId="22" w16cid:durableId="384984676">
    <w:abstractNumId w:val="18"/>
  </w:num>
  <w:num w:numId="23" w16cid:durableId="1956210935">
    <w:abstractNumId w:val="21"/>
  </w:num>
  <w:num w:numId="24" w16cid:durableId="1730223442">
    <w:abstractNumId w:val="17"/>
  </w:num>
  <w:num w:numId="25" w16cid:durableId="290020236">
    <w:abstractNumId w:val="12"/>
  </w:num>
  <w:num w:numId="26" w16cid:durableId="190382679">
    <w:abstractNumId w:val="8"/>
  </w:num>
  <w:num w:numId="27" w16cid:durableId="489829490">
    <w:abstractNumId w:val="29"/>
  </w:num>
  <w:num w:numId="28" w16cid:durableId="1234002494">
    <w:abstractNumId w:val="10"/>
  </w:num>
  <w:num w:numId="29" w16cid:durableId="358505788">
    <w:abstractNumId w:val="30"/>
  </w:num>
  <w:num w:numId="30" w16cid:durableId="1115443054">
    <w:abstractNumId w:val="2"/>
  </w:num>
  <w:num w:numId="31" w16cid:durableId="2121223877">
    <w:abstractNumId w:val="31"/>
  </w:num>
  <w:num w:numId="32" w16cid:durableId="375815692">
    <w:abstractNumId w:val="35"/>
  </w:num>
  <w:num w:numId="33" w16cid:durableId="226844793">
    <w:abstractNumId w:val="22"/>
  </w:num>
  <w:num w:numId="34" w16cid:durableId="610013039">
    <w:abstractNumId w:val="32"/>
  </w:num>
  <w:num w:numId="35" w16cid:durableId="1447240249">
    <w:abstractNumId w:val="23"/>
  </w:num>
  <w:num w:numId="36" w16cid:durableId="653221596">
    <w:abstractNumId w:val="16"/>
  </w:num>
  <w:num w:numId="37" w16cid:durableId="203484473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2E70"/>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249"/>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8F9"/>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37A0"/>
    <w:rsid w:val="005F7267"/>
    <w:rsid w:val="00601972"/>
    <w:rsid w:val="00604D9C"/>
    <w:rsid w:val="00604DA3"/>
    <w:rsid w:val="00607C41"/>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396"/>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D36"/>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4D"/>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footer" Target="footer2.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net" TargetMode="External"/><Relationship Id="rId29" Type="http://schemas.openxmlformats.org/officeDocument/2006/relationships/image" Target="cid:YT_e9180d16-5a2b-4618-92e9-22a015f9cafb.jpg"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40E463-FD61-4FEB-B576-B5977A366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1604</Words>
  <Characters>10107</Characters>
  <Application>Microsoft Office Word</Application>
  <DocSecurity>0</DocSecurity>
  <Lines>84</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11688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