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3510C" w14:textId="11512BCB" w:rsidR="00342AB4" w:rsidRPr="00342AB4" w:rsidRDefault="00342AB4" w:rsidP="00342AB4">
      <w:pPr>
        <w:spacing w:after="120" w:line="360" w:lineRule="auto"/>
        <w:ind w:left="567" w:right="1695"/>
        <w:rPr>
          <w:rFonts w:ascii="Arial" w:hAnsi="Arial" w:cs="Arial"/>
          <w:b/>
          <w:bCs/>
          <w:sz w:val="28"/>
          <w:szCs w:val="28"/>
        </w:rPr>
      </w:pPr>
      <w:r>
        <w:rPr>
          <w:rFonts w:ascii="Arial" w:hAnsi="Arial"/>
          <w:b/>
          <w:sz w:val="28"/>
        </w:rPr>
        <w:t xml:space="preserve">Nouvelles fonctions pour le terminal ISOBUS </w:t>
      </w:r>
      <w:proofErr w:type="spellStart"/>
      <w:r>
        <w:rPr>
          <w:rFonts w:ascii="Arial" w:hAnsi="Arial"/>
          <w:b/>
          <w:sz w:val="28"/>
        </w:rPr>
        <w:t>AmaTron</w:t>
      </w:r>
      <w:proofErr w:type="spellEnd"/>
      <w:r>
        <w:rPr>
          <w:rFonts w:ascii="Arial" w:hAnsi="Arial"/>
          <w:b/>
          <w:sz w:val="28"/>
        </w:rPr>
        <w:t xml:space="preserve"> 4</w:t>
      </w:r>
    </w:p>
    <w:p w14:paraId="7929F584" w14:textId="77777777" w:rsidR="00342AB4" w:rsidRPr="00342AB4" w:rsidRDefault="00342AB4" w:rsidP="00342AB4">
      <w:pPr>
        <w:spacing w:line="360" w:lineRule="auto"/>
        <w:ind w:left="567" w:right="1695"/>
        <w:rPr>
          <w:rFonts w:ascii="Arial" w:hAnsi="Arial" w:cs="Arial"/>
          <w:b/>
          <w:bCs/>
        </w:rPr>
      </w:pPr>
      <w:r>
        <w:rPr>
          <w:rFonts w:ascii="Arial" w:hAnsi="Arial"/>
          <w:b/>
        </w:rPr>
        <w:t>5 fonctionnalités pour de nouvelles possibilités en matière d’agriculture de précision</w:t>
      </w:r>
    </w:p>
    <w:p w14:paraId="65EA582A" w14:textId="77777777" w:rsidR="00161FDD" w:rsidRDefault="00161FDD" w:rsidP="00161FDD">
      <w:pPr>
        <w:spacing w:line="360" w:lineRule="auto"/>
        <w:ind w:left="567" w:right="1695"/>
        <w:rPr>
          <w:rFonts w:ascii="Arial" w:hAnsi="Arial" w:cs="Arial"/>
        </w:rPr>
      </w:pPr>
    </w:p>
    <w:p w14:paraId="750B6F2B" w14:textId="77777777" w:rsidR="00342AB4" w:rsidRDefault="00342AB4" w:rsidP="00342AB4">
      <w:pPr>
        <w:spacing w:after="120" w:line="360" w:lineRule="auto"/>
        <w:ind w:left="567" w:right="1695"/>
        <w:rPr>
          <w:rFonts w:ascii="Arial" w:eastAsia="Arial" w:hAnsi="Arial" w:cs="Arial"/>
        </w:rPr>
      </w:pPr>
      <w:r>
        <w:rPr>
          <w:rFonts w:ascii="Arial" w:hAnsi="Arial"/>
        </w:rPr>
        <w:t xml:space="preserve">Le terminal ISOBUS </w:t>
      </w:r>
      <w:proofErr w:type="spellStart"/>
      <w:r>
        <w:rPr>
          <w:rFonts w:ascii="Arial" w:hAnsi="Arial"/>
        </w:rPr>
        <w:t>AmaTron</w:t>
      </w:r>
      <w:proofErr w:type="spellEnd"/>
      <w:r>
        <w:rPr>
          <w:rFonts w:ascii="Arial" w:hAnsi="Arial"/>
        </w:rPr>
        <w:t xml:space="preserve"> 4, conçu et développé par AMAZONE, sert à surveiller et piloter les machines ISOBUS AMAZONE, mais aussi les machines ISOBUS d’autres constructeurs. L’</w:t>
      </w:r>
      <w:proofErr w:type="spellStart"/>
      <w:r>
        <w:rPr>
          <w:rFonts w:ascii="Arial" w:hAnsi="Arial"/>
        </w:rPr>
        <w:t>AmaTron</w:t>
      </w:r>
      <w:proofErr w:type="spellEnd"/>
      <w:r>
        <w:rPr>
          <w:rFonts w:ascii="Arial" w:hAnsi="Arial"/>
        </w:rPr>
        <w:t xml:space="preserve"> 4 marque des points depuis sa mise sur le marché en 2018, en particulier par ses menus de navigation clairs et en adéquation avec l’utilisation. Il permet à l’utilisateur un pilotage confortable et intuitif. Ces fonctionnalités sont propres à l’</w:t>
      </w:r>
      <w:proofErr w:type="spellStart"/>
      <w:r>
        <w:rPr>
          <w:rFonts w:ascii="Arial" w:hAnsi="Arial"/>
        </w:rPr>
        <w:t>AmaTron</w:t>
      </w:r>
      <w:proofErr w:type="spellEnd"/>
      <w:r>
        <w:rPr>
          <w:rFonts w:ascii="Arial" w:hAnsi="Arial"/>
        </w:rPr>
        <w:t xml:space="preserve"> 4 ce qui est un atout certain. "More </w:t>
      </w:r>
      <w:proofErr w:type="spellStart"/>
      <w:r>
        <w:rPr>
          <w:rFonts w:ascii="Arial" w:hAnsi="Arial"/>
        </w:rPr>
        <w:t>than</w:t>
      </w:r>
      <w:proofErr w:type="spellEnd"/>
      <w:r>
        <w:rPr>
          <w:rFonts w:ascii="Arial" w:hAnsi="Arial"/>
        </w:rPr>
        <w:t xml:space="preserve"> ISOBUS" est synonyme chez AMAZONE de fonctions particulières sur le terminal et la machine, elles offrent à l’utilisateur un avantage supplémentaire dans le domaine de l'agriculture de précision. Les fonctions connues avec des caractéristiques uniques sont ici la gestion de fourrière </w:t>
      </w:r>
      <w:proofErr w:type="spellStart"/>
      <w:r>
        <w:rPr>
          <w:rFonts w:ascii="Arial" w:hAnsi="Arial"/>
        </w:rPr>
        <w:t>HeadlandControl</w:t>
      </w:r>
      <w:proofErr w:type="spellEnd"/>
      <w:r>
        <w:rPr>
          <w:rFonts w:ascii="Arial" w:hAnsi="Arial"/>
        </w:rPr>
        <w:t>, ainsi que la coupure en forme de parabole avec un épandeur d’engrais ZA-TS AMAZONE ou la descente anticipée automatique de rampe avec un pulvérisateur AMAZONE ; ces fonctions sont possibles en combinaison avec l’</w:t>
      </w:r>
      <w:proofErr w:type="spellStart"/>
      <w:r>
        <w:rPr>
          <w:rFonts w:ascii="Arial" w:hAnsi="Arial"/>
        </w:rPr>
        <w:t>AmaTron</w:t>
      </w:r>
      <w:proofErr w:type="spellEnd"/>
      <w:r>
        <w:rPr>
          <w:rFonts w:ascii="Arial" w:hAnsi="Arial"/>
        </w:rPr>
        <w:t xml:space="preserve"> 4 comme terminal ISOBUS. Le logiciel le plus récent de l’</w:t>
      </w:r>
      <w:proofErr w:type="spellStart"/>
      <w:r>
        <w:rPr>
          <w:rFonts w:ascii="Arial" w:hAnsi="Arial"/>
        </w:rPr>
        <w:t>AmaTron</w:t>
      </w:r>
      <w:proofErr w:type="spellEnd"/>
      <w:r>
        <w:rPr>
          <w:rFonts w:ascii="Arial" w:hAnsi="Arial"/>
        </w:rPr>
        <w:t xml:space="preserve"> 4 offre désormais d’autres fonctions complémentaires, </w:t>
      </w:r>
      <w:proofErr w:type="gramStart"/>
      <w:r>
        <w:rPr>
          <w:rFonts w:ascii="Arial" w:hAnsi="Arial"/>
        </w:rPr>
        <w:t>associées</w:t>
      </w:r>
      <w:proofErr w:type="gramEnd"/>
      <w:r>
        <w:rPr>
          <w:rFonts w:ascii="Arial" w:hAnsi="Arial"/>
        </w:rPr>
        <w:t xml:space="preserve"> aux pulvérisateurs, semoirs, épandeurs d’engrais AMAZONE et pour la gestion des données.</w:t>
      </w:r>
    </w:p>
    <w:p w14:paraId="6A5C6ED0" w14:textId="77777777" w:rsidR="00342AB4" w:rsidRDefault="00342AB4" w:rsidP="00342AB4">
      <w:pPr>
        <w:spacing w:after="120" w:line="360" w:lineRule="auto"/>
        <w:ind w:left="567" w:right="1695"/>
        <w:rPr>
          <w:rFonts w:ascii="Arial" w:eastAsia="Arial" w:hAnsi="Arial" w:cs="Arial"/>
        </w:rPr>
      </w:pPr>
    </w:p>
    <w:p w14:paraId="7BC443AF" w14:textId="441164FF" w:rsidR="00342AB4" w:rsidRPr="00342AB4" w:rsidRDefault="00342AB4" w:rsidP="00342AB4">
      <w:pPr>
        <w:spacing w:after="120" w:line="360" w:lineRule="auto"/>
        <w:ind w:left="567" w:right="1695"/>
        <w:rPr>
          <w:rFonts w:ascii="Arial" w:eastAsia="Arial" w:hAnsi="Arial" w:cs="Arial"/>
        </w:rPr>
      </w:pPr>
      <w:r>
        <w:rPr>
          <w:rFonts w:ascii="Arial" w:hAnsi="Arial"/>
          <w:b/>
        </w:rPr>
        <w:t xml:space="preserve">Traitement des cartes de modulation ciblée – </w:t>
      </w:r>
      <w:proofErr w:type="spellStart"/>
      <w:r>
        <w:rPr>
          <w:rFonts w:ascii="Arial" w:hAnsi="Arial"/>
          <w:b/>
        </w:rPr>
        <w:t>AmaSelect</w:t>
      </w:r>
      <w:proofErr w:type="spellEnd"/>
      <w:r>
        <w:rPr>
          <w:rFonts w:ascii="Arial" w:hAnsi="Arial"/>
          <w:b/>
        </w:rPr>
        <w:t xml:space="preserve"> spot </w:t>
      </w:r>
    </w:p>
    <w:p w14:paraId="3365847D"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Les adventices se répartissent de façon hétérogène sur la parcelle et prennent souvent la forme de taches ou de bandes. Avec la coupure individuelle des buses </w:t>
      </w:r>
      <w:proofErr w:type="spellStart"/>
      <w:r>
        <w:rPr>
          <w:rFonts w:ascii="Arial" w:hAnsi="Arial"/>
        </w:rPr>
        <w:t>AmaSelect</w:t>
      </w:r>
      <w:proofErr w:type="spellEnd"/>
      <w:r>
        <w:rPr>
          <w:rFonts w:ascii="Arial" w:hAnsi="Arial"/>
        </w:rPr>
        <w:t xml:space="preserve">, AMAZONE propose depuis 2019 un traitement des adventices spécifique à la surface parcellaire, sur la base des cartes de modulation ciblées, ultra précises. Dans un premier temps, un prestataire de service saisit la surface à traiter avec la répartition des adventices et la transforme en carte de modulation ciblée. La deuxième étape consiste à traiter les zones d’adventices sur la parcelle. </w:t>
      </w:r>
    </w:p>
    <w:p w14:paraId="5898893F" w14:textId="77777777" w:rsidR="00342AB4" w:rsidRPr="00342AB4" w:rsidRDefault="00342AB4" w:rsidP="00342AB4">
      <w:pPr>
        <w:spacing w:after="120" w:line="360" w:lineRule="auto"/>
        <w:ind w:left="567" w:right="1695"/>
        <w:rPr>
          <w:rFonts w:ascii="Arial" w:eastAsia="Arial" w:hAnsi="Arial" w:cs="Arial"/>
        </w:rPr>
      </w:pPr>
    </w:p>
    <w:p w14:paraId="6ED62DEB" w14:textId="77777777" w:rsidR="00342AB4" w:rsidRDefault="00342AB4" w:rsidP="00342AB4">
      <w:pPr>
        <w:spacing w:after="120" w:line="360" w:lineRule="auto"/>
        <w:ind w:left="567" w:right="1695"/>
        <w:rPr>
          <w:rFonts w:ascii="Arial" w:eastAsia="Arial" w:hAnsi="Arial" w:cs="Arial"/>
        </w:rPr>
      </w:pPr>
      <w:r>
        <w:rPr>
          <w:rFonts w:ascii="Arial" w:hAnsi="Arial"/>
        </w:rPr>
        <w:t>Avec l’</w:t>
      </w:r>
      <w:proofErr w:type="spellStart"/>
      <w:r>
        <w:rPr>
          <w:rFonts w:ascii="Arial" w:hAnsi="Arial"/>
        </w:rPr>
        <w:t>AmaTron</w:t>
      </w:r>
      <w:proofErr w:type="spellEnd"/>
      <w:r>
        <w:rPr>
          <w:rFonts w:ascii="Arial" w:hAnsi="Arial"/>
        </w:rPr>
        <w:t xml:space="preserve"> 4, les cartes à points ou multipoints sont désormais téléchargées confortablement sur le terminal par le biais du menu Importation. Lors du passage sur la parcelle, les buses sont ouvertes avec </w:t>
      </w:r>
      <w:proofErr w:type="spellStart"/>
      <w:r>
        <w:rPr>
          <w:rFonts w:ascii="Arial" w:hAnsi="Arial"/>
        </w:rPr>
        <w:t>AmaSelect</w:t>
      </w:r>
      <w:proofErr w:type="spellEnd"/>
      <w:r>
        <w:rPr>
          <w:rFonts w:ascii="Arial" w:hAnsi="Arial"/>
        </w:rPr>
        <w:t xml:space="preserve"> spot uniquement sur les points marqués sur la carte de modulation et seules les adventices analysées au préalable sont traitées. L’application Spot des adventices est donc très précise et, en fonction du taux d’adventices, un potentiel d'économie de matières actives est possible jusqu'à 80 %. Ainsi l’environnement est protégé et le développement de résistances est évité grâce aux applications ciblées sur de petites surfaces, avec une concentration de produit phytosanitaire à 100 %. L’application est particulièrement confortable pour le conducteur en utilisant l’application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 pour l’</w:t>
      </w:r>
      <w:proofErr w:type="spellStart"/>
      <w:r>
        <w:rPr>
          <w:rFonts w:ascii="Arial" w:hAnsi="Arial"/>
        </w:rPr>
        <w:t>AmaTron</w:t>
      </w:r>
      <w:proofErr w:type="spellEnd"/>
      <w:r>
        <w:rPr>
          <w:rFonts w:ascii="Arial" w:hAnsi="Arial"/>
        </w:rPr>
        <w:t xml:space="preserve"> 4. Le conducteur visualise en permanence le pilotage de la machine ainsi que l’affichage de carte avec les surfaces cibles.</w:t>
      </w:r>
    </w:p>
    <w:p w14:paraId="59889793" w14:textId="77777777" w:rsidR="00342AB4" w:rsidRPr="00342AB4" w:rsidRDefault="00342AB4" w:rsidP="00342AB4">
      <w:pPr>
        <w:spacing w:after="120" w:line="360" w:lineRule="auto"/>
        <w:ind w:left="567" w:right="1695"/>
        <w:rPr>
          <w:rFonts w:ascii="Arial" w:eastAsia="Arial" w:hAnsi="Arial" w:cs="Arial"/>
        </w:rPr>
      </w:pPr>
    </w:p>
    <w:p w14:paraId="29AC9020"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Anticiper au plus juste avec </w:t>
      </w:r>
      <w:proofErr w:type="spellStart"/>
      <w:r>
        <w:rPr>
          <w:rFonts w:ascii="Arial" w:hAnsi="Arial"/>
          <w:b/>
        </w:rPr>
        <w:t>DirectInject</w:t>
      </w:r>
      <w:proofErr w:type="spellEnd"/>
    </w:p>
    <w:p w14:paraId="5C21E9EC"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Le système </w:t>
      </w:r>
      <w:proofErr w:type="spellStart"/>
      <w:r>
        <w:rPr>
          <w:rFonts w:ascii="Arial" w:hAnsi="Arial"/>
        </w:rPr>
        <w:t>DirectInject</w:t>
      </w:r>
      <w:proofErr w:type="spellEnd"/>
      <w:r>
        <w:rPr>
          <w:rFonts w:ascii="Arial" w:hAnsi="Arial"/>
        </w:rPr>
        <w:t xml:space="preserve"> AMAZONE permet durant l’application un apport de matières actives adapté aux besoins, pour appliquer les produits spécifiques et les matières actives uniquement sur les zones partielles ou certains points. </w:t>
      </w:r>
      <w:proofErr w:type="spellStart"/>
      <w:r>
        <w:rPr>
          <w:rFonts w:ascii="Arial" w:hAnsi="Arial"/>
        </w:rPr>
        <w:t>DirectInject</w:t>
      </w:r>
      <w:proofErr w:type="spellEnd"/>
      <w:r>
        <w:rPr>
          <w:rFonts w:ascii="Arial" w:hAnsi="Arial"/>
        </w:rPr>
        <w:t xml:space="preserve"> permet de s'adapter en cours de travail aux besoins des plantes cultivées, d’économiser la matière active quand elle n'est pas nécessaire et de réduire le nombre de passages du pulvérisateur. Les particularités bien connues de ce système sont l’intégration complète du circuit de bouillie et le pilotage ISOBUS du pulvérisateur, ainsi que le temps de réaction extrêmement court. </w:t>
      </w:r>
    </w:p>
    <w:p w14:paraId="1C17FBD2" w14:textId="77777777" w:rsidR="00342AB4" w:rsidRPr="00342AB4" w:rsidRDefault="00342AB4" w:rsidP="00342AB4">
      <w:pPr>
        <w:spacing w:after="120" w:line="360" w:lineRule="auto"/>
        <w:ind w:left="567" w:right="1695"/>
        <w:rPr>
          <w:rFonts w:ascii="Arial" w:eastAsia="Arial" w:hAnsi="Arial" w:cs="Arial"/>
        </w:rPr>
      </w:pPr>
    </w:p>
    <w:p w14:paraId="5F246F25" w14:textId="77777777" w:rsidR="00342AB4" w:rsidRDefault="00342AB4" w:rsidP="00342AB4">
      <w:pPr>
        <w:spacing w:after="120" w:line="360" w:lineRule="auto"/>
        <w:ind w:left="567" w:right="1695"/>
        <w:rPr>
          <w:rFonts w:ascii="Arial" w:eastAsia="Arial" w:hAnsi="Arial" w:cs="Arial"/>
        </w:rPr>
      </w:pPr>
      <w:r>
        <w:rPr>
          <w:rFonts w:ascii="Arial" w:hAnsi="Arial"/>
        </w:rPr>
        <w:t xml:space="preserve">Une nouvelle possibilité a été ajoutée, celle de doser avec une grande précision et par anticipation une matière active supplémentaire au moyen des cartes de modulation. Le débit du produit dans la cuve principale, ainsi que celui du produit de l’injection directe sont automatiquement régulés. Le produit </w:t>
      </w:r>
      <w:proofErr w:type="spellStart"/>
      <w:r>
        <w:rPr>
          <w:rFonts w:ascii="Arial" w:hAnsi="Arial"/>
        </w:rPr>
        <w:t>DirectInject</w:t>
      </w:r>
      <w:proofErr w:type="spellEnd"/>
      <w:r>
        <w:rPr>
          <w:rFonts w:ascii="Arial" w:hAnsi="Arial"/>
        </w:rPr>
        <w:t xml:space="preserve"> est </w:t>
      </w:r>
      <w:proofErr w:type="spellStart"/>
      <w:r>
        <w:rPr>
          <w:rFonts w:ascii="Arial" w:hAnsi="Arial"/>
        </w:rPr>
        <w:t>prédosé</w:t>
      </w:r>
      <w:proofErr w:type="spellEnd"/>
      <w:r>
        <w:rPr>
          <w:rFonts w:ascii="Arial" w:hAnsi="Arial"/>
        </w:rPr>
        <w:t xml:space="preserve"> avant d’arriver dans la zone à traiter et il est disponible </w:t>
      </w:r>
      <w:r>
        <w:rPr>
          <w:rFonts w:ascii="Arial" w:hAnsi="Arial"/>
        </w:rPr>
        <w:lastRenderedPageBreak/>
        <w:t>directement dès l’arrivée sur zone. Pour permettre une prévisualisation aussi fiable, le système utilise la fonction route de GPS-</w:t>
      </w:r>
      <w:proofErr w:type="spellStart"/>
      <w:r>
        <w:rPr>
          <w:rFonts w:ascii="Arial" w:hAnsi="Arial"/>
        </w:rPr>
        <w:t>ScenarioControl</w:t>
      </w:r>
      <w:proofErr w:type="spellEnd"/>
      <w:r>
        <w:rPr>
          <w:rFonts w:ascii="Arial" w:hAnsi="Arial"/>
        </w:rPr>
        <w:t xml:space="preserve"> qui représente une fonction supplémentaire pour l’</w:t>
      </w:r>
      <w:proofErr w:type="spellStart"/>
      <w:r>
        <w:rPr>
          <w:rFonts w:ascii="Arial" w:hAnsi="Arial"/>
        </w:rPr>
        <w:t>AmaTron</w:t>
      </w:r>
      <w:proofErr w:type="spellEnd"/>
      <w:r>
        <w:rPr>
          <w:rFonts w:ascii="Arial" w:hAnsi="Arial"/>
        </w:rPr>
        <w:t xml:space="preserve"> 4, associé à l’application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 Grâce au parcours enregistré dans le scénario et aux connaissances concernant la parcelle déjà traitée, le système sait quels secteurs d’application seront ensuite parcourus. Les traitements sont parfaits sur des petits secteurs et la précision est très élevée. </w:t>
      </w:r>
    </w:p>
    <w:p w14:paraId="71266517" w14:textId="77777777" w:rsidR="00342AB4" w:rsidRPr="00342AB4" w:rsidRDefault="00342AB4" w:rsidP="00342AB4">
      <w:pPr>
        <w:spacing w:after="120" w:line="360" w:lineRule="auto"/>
        <w:ind w:left="567" w:right="1695"/>
        <w:rPr>
          <w:rFonts w:ascii="Arial" w:eastAsia="Arial" w:hAnsi="Arial" w:cs="Arial"/>
        </w:rPr>
      </w:pPr>
    </w:p>
    <w:p w14:paraId="13C8BFB4" w14:textId="77777777" w:rsidR="00342AB4" w:rsidRPr="00342AB4" w:rsidRDefault="00342AB4" w:rsidP="00342AB4">
      <w:pPr>
        <w:spacing w:after="120" w:line="360" w:lineRule="auto"/>
        <w:ind w:left="567" w:right="1695"/>
        <w:rPr>
          <w:rFonts w:ascii="Arial" w:eastAsia="Arial" w:hAnsi="Arial" w:cs="Arial"/>
          <w:b/>
          <w:bCs/>
        </w:rPr>
      </w:pPr>
      <w:proofErr w:type="spellStart"/>
      <w:r>
        <w:rPr>
          <w:rFonts w:ascii="Arial" w:hAnsi="Arial"/>
          <w:b/>
        </w:rPr>
        <w:t>MultiMap</w:t>
      </w:r>
      <w:proofErr w:type="spellEnd"/>
      <w:r>
        <w:rPr>
          <w:rFonts w:ascii="Arial" w:hAnsi="Arial"/>
          <w:b/>
        </w:rPr>
        <w:t xml:space="preserve"> – Application spécifique à la surface parcellaire pour chaque matière active</w:t>
      </w:r>
    </w:p>
    <w:p w14:paraId="176F070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L’implantation de plusieurs produits n’est plus exceptionnelle depuis longtemps, en particulier au niveau du semis. L’utilisation de plusieurs trémies vous permet en un seul passage d’appliquer la semence, mais aussi simultanément l’engrais, une semence compagne ou une culture dérobée. Comme les conditions de sol, l’eau disponible et donc les potentiels de rendement peuvent fortement varier au niveau d’une même parcelle, il est judicieux d’adapter le débit de semis, mais aussi le débit d’engrais en fonction de ces conditions. </w:t>
      </w:r>
    </w:p>
    <w:p w14:paraId="196D5895" w14:textId="77777777" w:rsidR="00342AB4" w:rsidRPr="00342AB4" w:rsidRDefault="00342AB4" w:rsidP="00342AB4">
      <w:pPr>
        <w:spacing w:after="120" w:line="360" w:lineRule="auto"/>
        <w:ind w:left="567" w:right="1695"/>
        <w:rPr>
          <w:rFonts w:ascii="Arial" w:eastAsia="Arial" w:hAnsi="Arial" w:cs="Arial"/>
        </w:rPr>
      </w:pPr>
    </w:p>
    <w:p w14:paraId="12EC1915" w14:textId="77777777" w:rsidR="00342AB4" w:rsidRDefault="00342AB4" w:rsidP="00342AB4">
      <w:pPr>
        <w:spacing w:after="120" w:line="360" w:lineRule="auto"/>
        <w:ind w:left="567" w:right="1695"/>
        <w:rPr>
          <w:rFonts w:ascii="Arial" w:eastAsia="Arial" w:hAnsi="Arial" w:cs="Arial"/>
        </w:rPr>
      </w:pPr>
      <w:r>
        <w:rPr>
          <w:rFonts w:ascii="Arial" w:hAnsi="Arial"/>
        </w:rPr>
        <w:t xml:space="preserve">La fonction </w:t>
      </w:r>
      <w:proofErr w:type="spellStart"/>
      <w:r>
        <w:rPr>
          <w:rFonts w:ascii="Arial" w:hAnsi="Arial"/>
        </w:rPr>
        <w:t>MultiMap</w:t>
      </w:r>
      <w:proofErr w:type="spellEnd"/>
      <w:r>
        <w:rPr>
          <w:rFonts w:ascii="Arial" w:hAnsi="Arial"/>
        </w:rPr>
        <w:t xml:space="preserve"> fait partie intégrante de la licence du terminal </w:t>
      </w:r>
      <w:proofErr w:type="spellStart"/>
      <w:r>
        <w:rPr>
          <w:rFonts w:ascii="Arial" w:hAnsi="Arial"/>
        </w:rPr>
        <w:t>AmaTron</w:t>
      </w:r>
      <w:proofErr w:type="spellEnd"/>
      <w:r>
        <w:rPr>
          <w:rFonts w:ascii="Arial" w:hAnsi="Arial"/>
        </w:rPr>
        <w:t xml:space="preserve"> 4 </w:t>
      </w:r>
      <w:proofErr w:type="spellStart"/>
      <w:r>
        <w:rPr>
          <w:rFonts w:ascii="Arial" w:hAnsi="Arial"/>
        </w:rPr>
        <w:t>GPS-Maps&amp;Doc</w:t>
      </w:r>
      <w:proofErr w:type="spellEnd"/>
      <w:r>
        <w:rPr>
          <w:rFonts w:ascii="Arial" w:hAnsi="Arial"/>
        </w:rPr>
        <w:t xml:space="preserve"> et permet de réguler les produits séparément par le biais des cartes d’application et donc de les appliquer de façon spécifique à la surface parcellaire. En plus du semis et de la fertilisation spécifiques à la surface parcellaire, la pression de terrage peut aussi être modulée en fonction de la qualité du sol, selon les cartes de modulation. Les conditions de sol hétérogènes sont compensées et l’implantation de la semence est homogène. L’</w:t>
      </w:r>
      <w:proofErr w:type="spellStart"/>
      <w:r>
        <w:rPr>
          <w:rFonts w:ascii="Arial" w:hAnsi="Arial"/>
        </w:rPr>
        <w:t>AmaTron</w:t>
      </w:r>
      <w:proofErr w:type="spellEnd"/>
      <w:r>
        <w:rPr>
          <w:rFonts w:ascii="Arial" w:hAnsi="Arial"/>
        </w:rPr>
        <w:t xml:space="preserve"> 4 permet le traitement simultané de 4 cartes de modulation maximum. Une gestion adaptée en fonction du terrain est donc désormais facile. </w:t>
      </w:r>
    </w:p>
    <w:p w14:paraId="6859DDC0" w14:textId="77777777" w:rsidR="00342AB4" w:rsidRDefault="00342AB4" w:rsidP="00342AB4">
      <w:pPr>
        <w:spacing w:after="120" w:line="360" w:lineRule="auto"/>
        <w:ind w:left="567" w:right="1695"/>
        <w:rPr>
          <w:rFonts w:ascii="Arial" w:eastAsia="Arial" w:hAnsi="Arial" w:cs="Arial"/>
        </w:rPr>
      </w:pPr>
    </w:p>
    <w:p w14:paraId="56A1B23C" w14:textId="77777777" w:rsidR="006F38BC" w:rsidRPr="00342AB4" w:rsidRDefault="006F38BC" w:rsidP="00342AB4">
      <w:pPr>
        <w:spacing w:after="120" w:line="360" w:lineRule="auto"/>
        <w:ind w:left="567" w:right="1695"/>
        <w:rPr>
          <w:rFonts w:ascii="Arial" w:eastAsia="Arial" w:hAnsi="Arial" w:cs="Arial"/>
        </w:rPr>
      </w:pPr>
    </w:p>
    <w:p w14:paraId="068B0303"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lastRenderedPageBreak/>
        <w:t>GPS-</w:t>
      </w:r>
      <w:proofErr w:type="spellStart"/>
      <w:r>
        <w:rPr>
          <w:rFonts w:ascii="Arial" w:hAnsi="Arial"/>
          <w:b/>
        </w:rPr>
        <w:t>ScenarioControl</w:t>
      </w:r>
      <w:proofErr w:type="spellEnd"/>
      <w:r>
        <w:rPr>
          <w:rFonts w:ascii="Arial" w:hAnsi="Arial"/>
          <w:b/>
        </w:rPr>
        <w:t xml:space="preserve"> pour l’automatisation des étapes de travail récurrentes</w:t>
      </w:r>
    </w:p>
    <w:p w14:paraId="1DFF4F6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Lors de l’épandage d’engrais, le conducteur est confronté à différentes tâches. Les tâches qui se répètent d’un apport d’engrais à l’autre et année après année sur la parcelle. Il s’agit ici d’une part du trajet et du demi-tour sur la parcelle, d’autre part de l’activation et de la désactivation ainsi que du choix des modes corrects d’application en bordure et de </w:t>
      </w:r>
      <w:proofErr w:type="spellStart"/>
      <w:r>
        <w:rPr>
          <w:rFonts w:ascii="Arial" w:hAnsi="Arial"/>
        </w:rPr>
        <w:t>HeadlandControl</w:t>
      </w:r>
      <w:proofErr w:type="spellEnd"/>
      <w:r>
        <w:rPr>
          <w:rFonts w:ascii="Arial" w:hAnsi="Arial"/>
        </w:rPr>
        <w:t xml:space="preserve">. Ce sont des étapes de travail qui placent les conducteurs inexpérimentés ou qui ne sont pas de la région devant un choix récurrent et qui génèrent souvent des erreurs. </w:t>
      </w:r>
    </w:p>
    <w:p w14:paraId="6695D691" w14:textId="77777777" w:rsidR="00342AB4" w:rsidRPr="00342AB4" w:rsidRDefault="00342AB4" w:rsidP="00342AB4">
      <w:pPr>
        <w:spacing w:after="120" w:line="360" w:lineRule="auto"/>
        <w:ind w:left="567" w:right="1695"/>
        <w:rPr>
          <w:rFonts w:ascii="Arial" w:eastAsia="Arial" w:hAnsi="Arial" w:cs="Arial"/>
        </w:rPr>
      </w:pPr>
    </w:p>
    <w:p w14:paraId="1D5562B4" w14:textId="77777777" w:rsidR="00342AB4" w:rsidRPr="00342AB4" w:rsidRDefault="00342AB4" w:rsidP="00342AB4">
      <w:pPr>
        <w:spacing w:after="120" w:line="360" w:lineRule="auto"/>
        <w:ind w:left="567" w:right="1695"/>
        <w:rPr>
          <w:rFonts w:ascii="Arial" w:eastAsia="Arial" w:hAnsi="Arial" w:cs="Arial"/>
        </w:rPr>
      </w:pPr>
      <w:r>
        <w:rPr>
          <w:rFonts w:ascii="Arial" w:hAnsi="Arial"/>
        </w:rPr>
        <w:t>Avec GPS-</w:t>
      </w:r>
      <w:proofErr w:type="spellStart"/>
      <w:r>
        <w:rPr>
          <w:rFonts w:ascii="Arial" w:hAnsi="Arial"/>
        </w:rPr>
        <w:t>ScenarioControl</w:t>
      </w:r>
      <w:proofErr w:type="spellEnd"/>
      <w:r>
        <w:rPr>
          <w:rFonts w:ascii="Arial" w:hAnsi="Arial"/>
        </w:rPr>
        <w:t>, le trajet et les modes d’application en bordure sont enregistrés géoréférencés une seule fois et se déroulent ensuite lors des applications suivantes de façon automatisée pour assister le conducteur. GPS-</w:t>
      </w:r>
      <w:proofErr w:type="spellStart"/>
      <w:r>
        <w:rPr>
          <w:rFonts w:ascii="Arial" w:hAnsi="Arial"/>
        </w:rPr>
        <w:t>ScenarioControl</w:t>
      </w:r>
      <w:proofErr w:type="spellEnd"/>
      <w:r>
        <w:rPr>
          <w:rFonts w:ascii="Arial" w:hAnsi="Arial"/>
        </w:rPr>
        <w:t xml:space="preserve"> est une application supplémentaire pour le terminal utilisateur ISOBUS </w:t>
      </w:r>
      <w:proofErr w:type="spellStart"/>
      <w:r>
        <w:rPr>
          <w:rFonts w:ascii="Arial" w:hAnsi="Arial"/>
        </w:rPr>
        <w:t>AmaTron</w:t>
      </w:r>
      <w:proofErr w:type="spellEnd"/>
      <w:r>
        <w:rPr>
          <w:rFonts w:ascii="Arial" w:hAnsi="Arial"/>
        </w:rPr>
        <w:t xml:space="preserve"> 4, elle est représentée et pilotée via l’extension d’écran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 Sur l’application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le conducteur visualise le trajet affiché clairement et en passant un point défini, le procédé d’application en bordure enregistré est automatiquement activé ou désactivé. L’application d’engrais sans risque d’erreur et conforme à la législation est ainsi garantie, le travail est facilité.</w:t>
      </w:r>
    </w:p>
    <w:p w14:paraId="6FB847B0" w14:textId="77777777" w:rsidR="00342AB4" w:rsidRPr="00342AB4" w:rsidRDefault="00342AB4" w:rsidP="00342AB4">
      <w:pPr>
        <w:spacing w:after="120" w:line="360" w:lineRule="auto"/>
        <w:ind w:left="567" w:right="1695"/>
        <w:rPr>
          <w:rFonts w:ascii="Arial" w:eastAsia="Arial" w:hAnsi="Arial" w:cs="Arial"/>
        </w:rPr>
      </w:pPr>
    </w:p>
    <w:p w14:paraId="0BA322E7" w14:textId="77777777" w:rsidR="00342AB4" w:rsidRDefault="00342AB4" w:rsidP="00342AB4">
      <w:pPr>
        <w:spacing w:after="120" w:line="360" w:lineRule="auto"/>
        <w:ind w:left="567" w:right="1695"/>
        <w:rPr>
          <w:rFonts w:ascii="Arial" w:eastAsia="Arial" w:hAnsi="Arial" w:cs="Arial"/>
        </w:rPr>
      </w:pPr>
      <w:r>
        <w:rPr>
          <w:rFonts w:ascii="Arial" w:hAnsi="Arial"/>
        </w:rPr>
        <w:t xml:space="preserve">La fonction de routine n’est en outre pas limitée à l’application d’engrais, mais elle est utilisée avec n’importe quel outil porté. Ainsi le trajet enregistré une fois dans le scénario peut aussi par exemple être utilisé pour l’application de matières actives et garantit ainsi la reproduction toujours parfaite des mêmes déplacements, évitant ainsi de passer sur la culture, </w:t>
      </w:r>
      <w:proofErr w:type="gramStart"/>
      <w:r>
        <w:rPr>
          <w:rFonts w:ascii="Arial" w:hAnsi="Arial"/>
        </w:rPr>
        <w:t>suite à une</w:t>
      </w:r>
      <w:proofErr w:type="gramEnd"/>
      <w:r>
        <w:rPr>
          <w:rFonts w:ascii="Arial" w:hAnsi="Arial"/>
        </w:rPr>
        <w:t xml:space="preserve"> erreur en tournant sur les voies. Associée à l’utilisation des cartes de modulation, la fonction trajet réalise un dosage précis du produit supplémentaire.</w:t>
      </w:r>
    </w:p>
    <w:p w14:paraId="5417720C" w14:textId="77777777" w:rsidR="00342AB4" w:rsidRDefault="00342AB4" w:rsidP="00342AB4">
      <w:pPr>
        <w:spacing w:after="120" w:line="360" w:lineRule="auto"/>
        <w:ind w:left="567" w:right="1695"/>
        <w:rPr>
          <w:rFonts w:ascii="Arial" w:eastAsia="Arial" w:hAnsi="Arial" w:cs="Arial"/>
        </w:rPr>
      </w:pPr>
    </w:p>
    <w:p w14:paraId="62CD625A" w14:textId="77777777" w:rsidR="006F38BC" w:rsidRPr="00342AB4" w:rsidRDefault="006F38BC" w:rsidP="00342AB4">
      <w:pPr>
        <w:spacing w:after="120" w:line="360" w:lineRule="auto"/>
        <w:ind w:left="567" w:right="1695"/>
        <w:rPr>
          <w:rFonts w:ascii="Arial" w:eastAsia="Arial" w:hAnsi="Arial" w:cs="Arial"/>
        </w:rPr>
      </w:pPr>
    </w:p>
    <w:p w14:paraId="0C7EA40E"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lastRenderedPageBreak/>
        <w:t>Partager les données de chantier de l’</w:t>
      </w:r>
      <w:proofErr w:type="spellStart"/>
      <w:r>
        <w:rPr>
          <w:rFonts w:ascii="Arial" w:hAnsi="Arial"/>
          <w:b/>
        </w:rPr>
        <w:t>AmaTron</w:t>
      </w:r>
      <w:proofErr w:type="spellEnd"/>
      <w:r>
        <w:rPr>
          <w:rFonts w:ascii="Arial" w:hAnsi="Arial"/>
          <w:b/>
        </w:rPr>
        <w:t xml:space="preserve"> 4 via le smartphone</w:t>
      </w:r>
    </w:p>
    <w:p w14:paraId="71686009" w14:textId="77777777" w:rsidR="00342AB4" w:rsidRPr="00342AB4" w:rsidRDefault="00342AB4" w:rsidP="00342AB4">
      <w:pPr>
        <w:spacing w:after="120" w:line="360" w:lineRule="auto"/>
        <w:ind w:left="567" w:right="1695"/>
        <w:rPr>
          <w:rFonts w:ascii="Arial" w:eastAsia="Arial" w:hAnsi="Arial" w:cs="Arial"/>
        </w:rPr>
      </w:pPr>
      <w:r>
        <w:rPr>
          <w:rFonts w:ascii="Arial" w:hAnsi="Arial"/>
        </w:rPr>
        <w:t>S’il faut travailler avec des données de chantier sur l’</w:t>
      </w:r>
      <w:proofErr w:type="spellStart"/>
      <w:r>
        <w:rPr>
          <w:rFonts w:ascii="Arial" w:hAnsi="Arial"/>
        </w:rPr>
        <w:t>AmaTron</w:t>
      </w:r>
      <w:proofErr w:type="spellEnd"/>
      <w:r>
        <w:rPr>
          <w:rFonts w:ascii="Arial" w:hAnsi="Arial"/>
        </w:rPr>
        <w:t xml:space="preserve"> 4, pour réaliser par exemple une application spécifique à la surface parcellaire, il existe plusieurs manières d’importer les données de chantier dans le terminal et de les exporter à des fins de documentation une fois le travail réalisé. La méthode classique utilise une clé USB insérée dans l’</w:t>
      </w:r>
      <w:proofErr w:type="spellStart"/>
      <w:r>
        <w:rPr>
          <w:rFonts w:ascii="Arial" w:hAnsi="Arial"/>
        </w:rPr>
        <w:t>AmaTron</w:t>
      </w:r>
      <w:proofErr w:type="spellEnd"/>
      <w:r>
        <w:rPr>
          <w:rFonts w:ascii="Arial" w:hAnsi="Arial"/>
        </w:rPr>
        <w:t xml:space="preserve"> 4 pour permettre ainsi d’échanger les chantiers. L’</w:t>
      </w:r>
      <w:proofErr w:type="spellStart"/>
      <w:r>
        <w:rPr>
          <w:rFonts w:ascii="Arial" w:hAnsi="Arial"/>
        </w:rPr>
        <w:t>AmaTron</w:t>
      </w:r>
      <w:proofErr w:type="spellEnd"/>
      <w:r>
        <w:rPr>
          <w:rFonts w:ascii="Arial" w:hAnsi="Arial"/>
        </w:rPr>
        <w:t xml:space="preserve"> 4 est en mesure de traiter des données de chantier au format ISO-XML, mais aussi au format Shape. Un ISO-XML-</w:t>
      </w:r>
      <w:proofErr w:type="spellStart"/>
      <w:r>
        <w:rPr>
          <w:rFonts w:ascii="Arial" w:hAnsi="Arial"/>
        </w:rPr>
        <w:t>TaskSet</w:t>
      </w:r>
      <w:proofErr w:type="spellEnd"/>
      <w:r>
        <w:rPr>
          <w:rFonts w:ascii="Arial" w:hAnsi="Arial"/>
        </w:rPr>
        <w:t xml:space="preserve"> peut être exporté à des fins de documentation ou un fichier PDF-Export du travail réalisé est créé et enregistré simplement et confortablement sur la clé USB. Ce fichier PDF-Export est visualisé sur l’écran de l’ordinateur et enregistré ou imprimé. Pour faciliter l’échange des données et éviter la nécessité de manipuler une clé USB, l’</w:t>
      </w:r>
      <w:proofErr w:type="spellStart"/>
      <w:r>
        <w:rPr>
          <w:rFonts w:ascii="Arial" w:hAnsi="Arial"/>
        </w:rPr>
        <w:t>agrirouter</w:t>
      </w:r>
      <w:proofErr w:type="spellEnd"/>
      <w:r>
        <w:rPr>
          <w:rFonts w:ascii="Arial" w:hAnsi="Arial"/>
        </w:rPr>
        <w:t xml:space="preserve"> est utilisé comme interface pour l’échange des données ; avec un échange en ligne de données entre l’application </w:t>
      </w:r>
      <w:proofErr w:type="spellStart"/>
      <w:r>
        <w:rPr>
          <w:rFonts w:ascii="Arial" w:hAnsi="Arial"/>
        </w:rPr>
        <w:t>myAmaRouter</w:t>
      </w:r>
      <w:proofErr w:type="spellEnd"/>
      <w:r>
        <w:rPr>
          <w:rFonts w:ascii="Arial" w:hAnsi="Arial"/>
        </w:rPr>
        <w:t xml:space="preserve"> AMAZONE et l’</w:t>
      </w:r>
      <w:proofErr w:type="spellStart"/>
      <w:r>
        <w:rPr>
          <w:rFonts w:ascii="Arial" w:hAnsi="Arial"/>
        </w:rPr>
        <w:t>AmaTron</w:t>
      </w:r>
      <w:proofErr w:type="spellEnd"/>
      <w:r>
        <w:rPr>
          <w:rFonts w:ascii="Arial" w:hAnsi="Arial"/>
        </w:rPr>
        <w:t xml:space="preserve"> 4. </w:t>
      </w:r>
    </w:p>
    <w:p w14:paraId="4C3926E4" w14:textId="77777777" w:rsidR="00342AB4" w:rsidRPr="00342AB4" w:rsidRDefault="00342AB4" w:rsidP="00342AB4">
      <w:pPr>
        <w:spacing w:after="120" w:line="360" w:lineRule="auto"/>
        <w:ind w:left="567" w:right="1695"/>
        <w:rPr>
          <w:rFonts w:ascii="Arial" w:eastAsia="Arial" w:hAnsi="Arial" w:cs="Arial"/>
        </w:rPr>
      </w:pPr>
    </w:p>
    <w:p w14:paraId="79E1FFB6" w14:textId="4795C8C7" w:rsidR="00A574DC" w:rsidRDefault="00342AB4" w:rsidP="00342AB4">
      <w:pPr>
        <w:spacing w:after="120" w:line="360" w:lineRule="auto"/>
        <w:ind w:left="567" w:right="1695"/>
        <w:rPr>
          <w:rFonts w:ascii="Arial" w:eastAsia="Arial" w:hAnsi="Arial" w:cs="Arial"/>
        </w:rPr>
      </w:pPr>
      <w:r>
        <w:rPr>
          <w:rFonts w:ascii="Arial" w:hAnsi="Arial"/>
        </w:rPr>
        <w:t>AMAZONE a encore simplifié l’échange des données avec l’</w:t>
      </w:r>
      <w:proofErr w:type="spellStart"/>
      <w:r>
        <w:rPr>
          <w:rFonts w:ascii="Arial" w:hAnsi="Arial"/>
        </w:rPr>
        <w:t>AmaTron</w:t>
      </w:r>
      <w:proofErr w:type="spellEnd"/>
      <w:r>
        <w:rPr>
          <w:rFonts w:ascii="Arial" w:hAnsi="Arial"/>
        </w:rPr>
        <w:t xml:space="preserve"> 4. Désormais les données sont envoyées simplement et confortablement avec le Smartphone à l’</w:t>
      </w:r>
      <w:proofErr w:type="spellStart"/>
      <w:r>
        <w:rPr>
          <w:rFonts w:ascii="Arial" w:hAnsi="Arial"/>
        </w:rPr>
        <w:t>AmaTron</w:t>
      </w:r>
      <w:proofErr w:type="spellEnd"/>
      <w:r>
        <w:rPr>
          <w:rFonts w:ascii="Arial" w:hAnsi="Arial"/>
        </w:rPr>
        <w:t xml:space="preserve"> 4 et sont aussi appelées par l’</w:t>
      </w:r>
      <w:proofErr w:type="spellStart"/>
      <w:r>
        <w:rPr>
          <w:rFonts w:ascii="Arial" w:hAnsi="Arial"/>
        </w:rPr>
        <w:t>AmaTron</w:t>
      </w:r>
      <w:proofErr w:type="spellEnd"/>
      <w:r>
        <w:rPr>
          <w:rFonts w:ascii="Arial" w:hAnsi="Arial"/>
        </w:rPr>
        <w:t xml:space="preserve"> 4. Cette fonction de partage qui est déjà bien connue </w:t>
      </w:r>
      <w:proofErr w:type="gramStart"/>
      <w:r>
        <w:rPr>
          <w:rFonts w:ascii="Arial" w:hAnsi="Arial"/>
        </w:rPr>
        <w:t>de par</w:t>
      </w:r>
      <w:proofErr w:type="gramEnd"/>
      <w:r>
        <w:rPr>
          <w:rFonts w:ascii="Arial" w:hAnsi="Arial"/>
        </w:rPr>
        <w:t xml:space="preserve"> l'usage du smartphone est rendue possible par l’application </w:t>
      </w:r>
      <w:proofErr w:type="spellStart"/>
      <w:r>
        <w:rPr>
          <w:rFonts w:ascii="Arial" w:hAnsi="Arial"/>
        </w:rPr>
        <w:t>myAmaRouter</w:t>
      </w:r>
      <w:proofErr w:type="spellEnd"/>
      <w:r>
        <w:rPr>
          <w:rFonts w:ascii="Arial" w:hAnsi="Arial"/>
        </w:rPr>
        <w:t>. Une connexion à l’</w:t>
      </w:r>
      <w:proofErr w:type="spellStart"/>
      <w:r>
        <w:rPr>
          <w:rFonts w:ascii="Arial" w:hAnsi="Arial"/>
        </w:rPr>
        <w:t>agrirouter</w:t>
      </w:r>
      <w:proofErr w:type="spellEnd"/>
      <w:r>
        <w:rPr>
          <w:rFonts w:ascii="Arial" w:hAnsi="Arial"/>
        </w:rPr>
        <w:t xml:space="preserve"> n’est pas indispensable pour cela, mais possible. Les fichiers ISO-XML, mais aussi </w:t>
      </w:r>
      <w:proofErr w:type="spellStart"/>
      <w:r>
        <w:rPr>
          <w:rFonts w:ascii="Arial" w:hAnsi="Arial"/>
        </w:rPr>
        <w:t>shape</w:t>
      </w:r>
      <w:proofErr w:type="spellEnd"/>
      <w:r>
        <w:rPr>
          <w:rFonts w:ascii="Arial" w:hAnsi="Arial"/>
        </w:rPr>
        <w:t xml:space="preserve"> issus de services </w:t>
      </w:r>
      <w:proofErr w:type="gramStart"/>
      <w:r>
        <w:rPr>
          <w:rFonts w:ascii="Arial" w:hAnsi="Arial"/>
        </w:rPr>
        <w:t>E-Mail</w:t>
      </w:r>
      <w:proofErr w:type="gramEnd"/>
      <w:r>
        <w:rPr>
          <w:rFonts w:ascii="Arial" w:hAnsi="Arial"/>
        </w:rPr>
        <w:t>, ainsi que les services Messenger courants sont partagés et transmis directement à l’</w:t>
      </w:r>
      <w:proofErr w:type="spellStart"/>
      <w:r>
        <w:rPr>
          <w:rFonts w:ascii="Arial" w:hAnsi="Arial"/>
        </w:rPr>
        <w:t>AmaTron</w:t>
      </w:r>
      <w:proofErr w:type="spellEnd"/>
      <w:r>
        <w:rPr>
          <w:rFonts w:ascii="Arial" w:hAnsi="Arial"/>
        </w:rPr>
        <w:t xml:space="preserve"> 4. De même, les chantiers réalisés par le biais de cette fonction, qui sont sur l’</w:t>
      </w:r>
      <w:proofErr w:type="spellStart"/>
      <w:r>
        <w:rPr>
          <w:rFonts w:ascii="Arial" w:hAnsi="Arial"/>
        </w:rPr>
        <w:t>AmaTron</w:t>
      </w:r>
      <w:proofErr w:type="spellEnd"/>
      <w:r>
        <w:rPr>
          <w:rFonts w:ascii="Arial" w:hAnsi="Arial"/>
        </w:rPr>
        <w:t xml:space="preserve"> 4, sont exportés au format ISO-XML ou </w:t>
      </w:r>
      <w:proofErr w:type="spellStart"/>
      <w:r>
        <w:rPr>
          <w:rFonts w:ascii="Arial" w:hAnsi="Arial"/>
        </w:rPr>
        <w:t>pdf</w:t>
      </w:r>
      <w:proofErr w:type="spellEnd"/>
      <w:r>
        <w:rPr>
          <w:rFonts w:ascii="Arial" w:hAnsi="Arial"/>
        </w:rPr>
        <w:t xml:space="preserve"> par le terminal et partagés à volonté au moyen du smartphone. L’échange de données est encore facilité et la flexibilité entre le créateur de cartes (par exemple le responsable d’exploitation) et le conducteur.</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6E17FA83" w14:textId="77777777" w:rsidR="00342AB4" w:rsidRDefault="00342AB4" w:rsidP="00161FDD">
      <w:pPr>
        <w:tabs>
          <w:tab w:val="left" w:pos="3550"/>
        </w:tabs>
        <w:spacing w:line="360" w:lineRule="auto"/>
        <w:ind w:left="567" w:right="1128"/>
        <w:rPr>
          <w:rFonts w:ascii="Arial" w:eastAsia="Arial" w:hAnsi="Arial" w:cs="Arial"/>
        </w:rPr>
      </w:pPr>
    </w:p>
    <w:p w14:paraId="1A761268" w14:textId="77777777" w:rsidR="00342AB4" w:rsidRPr="00F92344" w:rsidRDefault="00342AB4" w:rsidP="00342AB4">
      <w:pPr>
        <w:spacing w:after="120" w:line="360" w:lineRule="auto"/>
        <w:ind w:left="567" w:right="1695"/>
        <w:rPr>
          <w:rFonts w:ascii="Arial" w:eastAsia="Arial" w:hAnsi="Arial" w:cs="Arial"/>
        </w:rPr>
      </w:pPr>
    </w:p>
    <w:p w14:paraId="3EACD222" w14:textId="77777777" w:rsidR="00342AB4" w:rsidRDefault="00342AB4" w:rsidP="00342AB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6C075F" wp14:editId="2063BDFA">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19504F9" w14:textId="417EED6A"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Le terminal ISOBUS </w:t>
      </w:r>
      <w:proofErr w:type="spellStart"/>
      <w:r>
        <w:rPr>
          <w:rFonts w:ascii="Arial" w:hAnsi="Arial"/>
        </w:rPr>
        <w:t>AmaTron</w:t>
      </w:r>
      <w:proofErr w:type="spellEnd"/>
      <w:r>
        <w:rPr>
          <w:rFonts w:ascii="Arial" w:hAnsi="Arial"/>
        </w:rPr>
        <w:t xml:space="preserve"> 4 offre 5 fonctions supplémentaires novatrices pour l’agriculture de précision </w:t>
      </w:r>
    </w:p>
    <w:p w14:paraId="5CECA603" w14:textId="3785122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Gestion confortable et précise des surfaces parcellaires jusqu’à la plante individuelle </w:t>
      </w:r>
    </w:p>
    <w:p w14:paraId="7DA9ADF5" w14:textId="014BBA8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Allègement du travail et flexibilité, </w:t>
      </w:r>
      <w:proofErr w:type="gramStart"/>
      <w:r>
        <w:rPr>
          <w:rFonts w:ascii="Arial" w:hAnsi="Arial"/>
        </w:rPr>
        <w:t>suite à une</w:t>
      </w:r>
      <w:proofErr w:type="gramEnd"/>
      <w:r>
        <w:rPr>
          <w:rFonts w:ascii="Arial" w:hAnsi="Arial"/>
        </w:rPr>
        <w:t xml:space="preserve"> gestion simplifiée numérique des données et aux processus de coupure automatisés </w:t>
      </w:r>
    </w:p>
    <w:p w14:paraId="71838D48" w14:textId="0C238B03"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Utilisation optimisée, préservant les ressources des intrants</w:t>
      </w:r>
    </w:p>
    <w:p w14:paraId="65730644" w14:textId="77777777" w:rsidR="00342AB4" w:rsidRDefault="00342AB4" w:rsidP="00175249">
      <w:pPr>
        <w:tabs>
          <w:tab w:val="left" w:pos="3550"/>
        </w:tabs>
        <w:spacing w:line="360" w:lineRule="auto"/>
        <w:ind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00FECEC8" w14:textId="40A242D9"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BEB463E" wp14:editId="210E03A7">
            <wp:extent cx="4262400" cy="2880000"/>
            <wp:effectExtent l="0" t="0" r="5080" b="3175"/>
            <wp:docPr id="20888652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65225" name="Grafik 20888652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7EF103DC" w:rsidR="00420C2E"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F2E12CB" wp14:editId="138CF134">
            <wp:extent cx="2084400" cy="2880000"/>
            <wp:effectExtent l="0" t="0" r="0" b="3175"/>
            <wp:docPr id="16195142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14294" name="Grafik 16195142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84400" cy="2880000"/>
                    </a:xfrm>
                    <a:prstGeom prst="rect">
                      <a:avLst/>
                    </a:prstGeom>
                  </pic:spPr>
                </pic:pic>
              </a:graphicData>
            </a:graphic>
          </wp:inline>
        </w:drawing>
      </w:r>
    </w:p>
    <w:p w14:paraId="39E9159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Traitement confortable d’une carte de modulation ciblée. En plus du pilotage machine sur l’</w:t>
      </w:r>
      <w:proofErr w:type="spellStart"/>
      <w:r>
        <w:rPr>
          <w:rFonts w:ascii="Arial" w:hAnsi="Arial"/>
        </w:rPr>
        <w:t>AmaTron</w:t>
      </w:r>
      <w:proofErr w:type="spellEnd"/>
      <w:r>
        <w:rPr>
          <w:rFonts w:ascii="Arial" w:hAnsi="Arial"/>
        </w:rPr>
        <w:t xml:space="preserve"> 4, le conducteur visualise en permanence la carte ciblée sur l’application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p>
    <w:p w14:paraId="0179A7DA" w14:textId="77777777" w:rsidR="0089279D" w:rsidRDefault="0089279D" w:rsidP="00161FDD">
      <w:pPr>
        <w:tabs>
          <w:tab w:val="left" w:pos="3550"/>
        </w:tabs>
        <w:spacing w:line="360" w:lineRule="auto"/>
        <w:ind w:left="567" w:right="1128"/>
        <w:rPr>
          <w:rFonts w:ascii="Arial" w:eastAsia="Arial" w:hAnsi="Arial" w:cs="Arial"/>
        </w:rPr>
      </w:pPr>
    </w:p>
    <w:p w14:paraId="35BA1566" w14:textId="77777777" w:rsidR="00342AB4" w:rsidRDefault="00342AB4" w:rsidP="00161FDD">
      <w:pPr>
        <w:tabs>
          <w:tab w:val="left" w:pos="3550"/>
        </w:tabs>
        <w:spacing w:line="360" w:lineRule="auto"/>
        <w:ind w:left="567" w:right="1128"/>
        <w:rPr>
          <w:rFonts w:ascii="Arial" w:eastAsia="Arial" w:hAnsi="Arial" w:cs="Arial"/>
        </w:rPr>
      </w:pPr>
    </w:p>
    <w:p w14:paraId="5D203916" w14:textId="662FF706" w:rsidR="00342AB4" w:rsidRDefault="006F38BC"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5924A0C8" wp14:editId="50CBFA97">
            <wp:extent cx="6120000" cy="2109600"/>
            <wp:effectExtent l="0" t="0" r="1905" b="0"/>
            <wp:docPr id="12570559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55960" name="Grafik 125705596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1DD214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Le temps de réaction est automatiquement calculé lors de l’utilisation des cartes de modulation et le dosage de la matière active </w:t>
      </w:r>
      <w:proofErr w:type="spellStart"/>
      <w:r>
        <w:rPr>
          <w:rFonts w:ascii="Arial" w:hAnsi="Arial"/>
        </w:rPr>
        <w:t>DirectInject</w:t>
      </w:r>
      <w:proofErr w:type="spellEnd"/>
      <w:r>
        <w:rPr>
          <w:rFonts w:ascii="Arial" w:hAnsi="Arial"/>
        </w:rPr>
        <w:t xml:space="preserve"> se fait de façon ultra ciblée sur la base de la surface déjà traitée et de la fonction de routine de GPS-</w:t>
      </w:r>
      <w:proofErr w:type="spellStart"/>
      <w:r>
        <w:rPr>
          <w:rFonts w:ascii="Arial" w:hAnsi="Arial"/>
        </w:rPr>
        <w:t>ScenarioControl</w:t>
      </w:r>
      <w:proofErr w:type="spellEnd"/>
      <w:r>
        <w:rPr>
          <w:rFonts w:ascii="Arial" w:hAnsi="Arial"/>
        </w:rPr>
        <w:t>.</w:t>
      </w:r>
    </w:p>
    <w:p w14:paraId="55C8A72B" w14:textId="77777777" w:rsidR="00342AB4" w:rsidRDefault="00342AB4" w:rsidP="00161FDD">
      <w:pPr>
        <w:tabs>
          <w:tab w:val="left" w:pos="3550"/>
        </w:tabs>
        <w:spacing w:line="360" w:lineRule="auto"/>
        <w:ind w:left="567" w:right="1128"/>
        <w:rPr>
          <w:rFonts w:ascii="Arial" w:eastAsia="Arial" w:hAnsi="Arial" w:cs="Arial"/>
        </w:rPr>
      </w:pPr>
    </w:p>
    <w:p w14:paraId="163CE727" w14:textId="77777777" w:rsidR="00342AB4" w:rsidRDefault="00342AB4" w:rsidP="00161FDD">
      <w:pPr>
        <w:tabs>
          <w:tab w:val="left" w:pos="3550"/>
        </w:tabs>
        <w:spacing w:line="360" w:lineRule="auto"/>
        <w:ind w:left="567" w:right="1128"/>
        <w:rPr>
          <w:rFonts w:ascii="Arial" w:eastAsia="Arial" w:hAnsi="Arial" w:cs="Arial"/>
        </w:rPr>
      </w:pPr>
    </w:p>
    <w:p w14:paraId="3F6E4527" w14:textId="7C3EA4B5"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A41A187" wp14:editId="524AAB3F">
            <wp:extent cx="6120000" cy="2563200"/>
            <wp:effectExtent l="0" t="0" r="1905" b="2540"/>
            <wp:docPr id="145679312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3123" name="Grafik 14567931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563200"/>
                    </a:xfrm>
                    <a:prstGeom prst="rect">
                      <a:avLst/>
                    </a:prstGeom>
                  </pic:spPr>
                </pic:pic>
              </a:graphicData>
            </a:graphic>
          </wp:inline>
        </w:drawing>
      </w:r>
    </w:p>
    <w:p w14:paraId="27DEF16D" w14:textId="77777777" w:rsidR="00342AB4" w:rsidRPr="00342AB4" w:rsidRDefault="00342AB4" w:rsidP="00342AB4">
      <w:pPr>
        <w:tabs>
          <w:tab w:val="left" w:pos="3550"/>
        </w:tabs>
        <w:spacing w:line="360" w:lineRule="auto"/>
        <w:ind w:left="567" w:right="1128"/>
        <w:rPr>
          <w:rFonts w:ascii="Arial" w:eastAsia="Arial" w:hAnsi="Arial" w:cs="Arial"/>
        </w:rPr>
      </w:pPr>
      <w:proofErr w:type="spellStart"/>
      <w:r>
        <w:rPr>
          <w:rFonts w:ascii="Arial" w:hAnsi="Arial"/>
        </w:rPr>
        <w:t>DirectInject</w:t>
      </w:r>
      <w:proofErr w:type="spellEnd"/>
      <w:r>
        <w:rPr>
          <w:rFonts w:ascii="Arial" w:hAnsi="Arial"/>
        </w:rPr>
        <w:t xml:space="preserve"> et l’utilisation des cartes de modulation permettent un traitement individuel et précis des foyers d’adventices sur la parcelle *. </w:t>
      </w:r>
    </w:p>
    <w:p w14:paraId="677B8466" w14:textId="7818ABBB" w:rsidR="00342AB4" w:rsidRDefault="00342AB4" w:rsidP="00161FDD">
      <w:pPr>
        <w:tabs>
          <w:tab w:val="left" w:pos="3550"/>
        </w:tabs>
        <w:spacing w:line="360" w:lineRule="auto"/>
        <w:ind w:left="567" w:right="1128"/>
        <w:rPr>
          <w:rFonts w:ascii="Arial" w:eastAsia="Arial" w:hAnsi="Arial" w:cs="Arial"/>
        </w:rPr>
      </w:pPr>
    </w:p>
    <w:p w14:paraId="702CF578" w14:textId="77777777" w:rsidR="00342AB4" w:rsidRDefault="00342AB4" w:rsidP="00161FDD">
      <w:pPr>
        <w:tabs>
          <w:tab w:val="left" w:pos="3550"/>
        </w:tabs>
        <w:spacing w:line="360" w:lineRule="auto"/>
        <w:ind w:left="567" w:right="1128"/>
        <w:rPr>
          <w:rFonts w:ascii="Arial" w:eastAsia="Arial" w:hAnsi="Arial" w:cs="Arial"/>
        </w:rPr>
      </w:pPr>
    </w:p>
    <w:p w14:paraId="1B216F36" w14:textId="36022B78"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C4A7C87" wp14:editId="54977AB1">
            <wp:extent cx="6120000" cy="2109600"/>
            <wp:effectExtent l="0" t="0" r="1905" b="0"/>
            <wp:docPr id="128189712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97121" name="Grafik 12818971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6EF34"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Les différences de sol sont prises en compte de façon spécifique à la surface parcellaire et les potentiels de rendement sont mis à profit de façon optimale. </w:t>
      </w:r>
    </w:p>
    <w:p w14:paraId="671E4742" w14:textId="77777777" w:rsidR="00342AB4" w:rsidRDefault="00342AB4" w:rsidP="00161FDD">
      <w:pPr>
        <w:tabs>
          <w:tab w:val="left" w:pos="3550"/>
        </w:tabs>
        <w:spacing w:line="360" w:lineRule="auto"/>
        <w:ind w:left="567" w:right="1128"/>
        <w:rPr>
          <w:rFonts w:ascii="Arial" w:eastAsia="Arial" w:hAnsi="Arial" w:cs="Arial"/>
        </w:rPr>
      </w:pPr>
    </w:p>
    <w:p w14:paraId="2E6A2B00" w14:textId="77777777" w:rsidR="00342AB4" w:rsidRDefault="00342AB4" w:rsidP="00161FDD">
      <w:pPr>
        <w:tabs>
          <w:tab w:val="left" w:pos="3550"/>
        </w:tabs>
        <w:spacing w:line="360" w:lineRule="auto"/>
        <w:ind w:left="567" w:right="1128"/>
        <w:rPr>
          <w:rFonts w:ascii="Arial" w:eastAsia="Arial" w:hAnsi="Arial" w:cs="Arial"/>
        </w:rPr>
      </w:pPr>
    </w:p>
    <w:p w14:paraId="3C29244F" w14:textId="1F03F008"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51C1C13" wp14:editId="7EC13191">
            <wp:extent cx="3877200" cy="2880000"/>
            <wp:effectExtent l="0" t="0" r="0" b="3175"/>
            <wp:docPr id="2473102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1028" name="Grafik 24731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5C9A1D6A"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L’</w:t>
      </w:r>
      <w:proofErr w:type="spellStart"/>
      <w:r>
        <w:rPr>
          <w:rFonts w:ascii="Arial" w:hAnsi="Arial"/>
        </w:rPr>
        <w:t>AmaTron</w:t>
      </w:r>
      <w:proofErr w:type="spellEnd"/>
      <w:r>
        <w:rPr>
          <w:rFonts w:ascii="Arial" w:hAnsi="Arial"/>
        </w:rPr>
        <w:t xml:space="preserve"> 4 traite jusqu’à 4 cartes de modulation simultanément. Ainsi les densités de semis, les débits d’engrais et la pression de terrage sont adaptés aux différentes surfaces parcellaires. </w:t>
      </w:r>
    </w:p>
    <w:p w14:paraId="15EC7472" w14:textId="77777777" w:rsidR="00342AB4" w:rsidRDefault="00342AB4" w:rsidP="00342AB4">
      <w:pPr>
        <w:tabs>
          <w:tab w:val="left" w:pos="3550"/>
        </w:tabs>
        <w:spacing w:line="360" w:lineRule="auto"/>
        <w:ind w:right="1128"/>
        <w:rPr>
          <w:rFonts w:ascii="Arial" w:eastAsia="Arial" w:hAnsi="Arial" w:cs="Arial"/>
        </w:rPr>
      </w:pPr>
    </w:p>
    <w:p w14:paraId="359411A6" w14:textId="77777777" w:rsidR="00342AB4" w:rsidRDefault="00342AB4" w:rsidP="00161FDD">
      <w:pPr>
        <w:tabs>
          <w:tab w:val="left" w:pos="3550"/>
        </w:tabs>
        <w:spacing w:line="360" w:lineRule="auto"/>
        <w:ind w:left="567" w:right="1128"/>
        <w:rPr>
          <w:rFonts w:ascii="Arial" w:eastAsia="Arial" w:hAnsi="Arial" w:cs="Arial"/>
        </w:rPr>
      </w:pPr>
    </w:p>
    <w:p w14:paraId="1E2396CD" w14:textId="6433C508"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11AB31A" wp14:editId="23B5566C">
            <wp:extent cx="2408400" cy="2880000"/>
            <wp:effectExtent l="0" t="0" r="5080" b="3175"/>
            <wp:docPr id="4899293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29312" name="Grafik 4899293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8400" cy="2880000"/>
                    </a:xfrm>
                    <a:prstGeom prst="rect">
                      <a:avLst/>
                    </a:prstGeom>
                  </pic:spPr>
                </pic:pic>
              </a:graphicData>
            </a:graphic>
          </wp:inline>
        </w:drawing>
      </w:r>
    </w:p>
    <w:p w14:paraId="72835550"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GPS-</w:t>
      </w:r>
      <w:proofErr w:type="spellStart"/>
      <w:r>
        <w:rPr>
          <w:rFonts w:ascii="Arial" w:hAnsi="Arial"/>
        </w:rPr>
        <w:t>ScenarioControl</w:t>
      </w:r>
      <w:proofErr w:type="spellEnd"/>
      <w:r>
        <w:rPr>
          <w:rFonts w:ascii="Arial" w:hAnsi="Arial"/>
        </w:rPr>
        <w:t xml:space="preserve"> peut être utilisé </w:t>
      </w:r>
      <w:proofErr w:type="gramStart"/>
      <w:r>
        <w:rPr>
          <w:rFonts w:ascii="Arial" w:hAnsi="Arial"/>
        </w:rPr>
        <w:t>associé</w:t>
      </w:r>
      <w:proofErr w:type="gramEnd"/>
      <w:r>
        <w:rPr>
          <w:rFonts w:ascii="Arial" w:hAnsi="Arial"/>
        </w:rPr>
        <w:t xml:space="preserve"> au terminal utilisateur ISOBUS </w:t>
      </w:r>
      <w:proofErr w:type="spellStart"/>
      <w:r>
        <w:rPr>
          <w:rFonts w:ascii="Arial" w:hAnsi="Arial"/>
        </w:rPr>
        <w:t>AmaTron</w:t>
      </w:r>
      <w:proofErr w:type="spellEnd"/>
      <w:r>
        <w:rPr>
          <w:rFonts w:ascii="Arial" w:hAnsi="Arial"/>
        </w:rPr>
        <w:t xml:space="preserve"> 4 et à l’application </w:t>
      </w:r>
      <w:proofErr w:type="spellStart"/>
      <w:r>
        <w:rPr>
          <w:rFonts w:ascii="Arial" w:hAnsi="Arial"/>
        </w:rPr>
        <w:t>AmaTron</w:t>
      </w:r>
      <w:proofErr w:type="spellEnd"/>
      <w:r>
        <w:rPr>
          <w:rFonts w:ascii="Arial" w:hAnsi="Arial"/>
        </w:rPr>
        <w:t xml:space="preserve"> </w:t>
      </w:r>
      <w:proofErr w:type="spellStart"/>
      <w:r>
        <w:rPr>
          <w:rFonts w:ascii="Arial" w:hAnsi="Arial"/>
        </w:rPr>
        <w:t>Twin</w:t>
      </w:r>
      <w:proofErr w:type="spellEnd"/>
      <w:r>
        <w:rPr>
          <w:rFonts w:ascii="Arial" w:hAnsi="Arial"/>
        </w:rPr>
        <w:t xml:space="preserve">. </w:t>
      </w:r>
    </w:p>
    <w:p w14:paraId="49D1ECBC" w14:textId="77777777" w:rsidR="0089279D" w:rsidRDefault="0089279D" w:rsidP="00161FDD">
      <w:pPr>
        <w:tabs>
          <w:tab w:val="left" w:pos="3550"/>
        </w:tabs>
        <w:spacing w:line="360" w:lineRule="auto"/>
        <w:ind w:left="567" w:right="1128"/>
        <w:rPr>
          <w:rFonts w:ascii="Arial" w:eastAsia="Arial" w:hAnsi="Arial" w:cs="Arial"/>
        </w:rPr>
      </w:pPr>
    </w:p>
    <w:p w14:paraId="4FD96F49" w14:textId="77777777" w:rsidR="00342AB4" w:rsidRDefault="00342AB4" w:rsidP="00161FDD">
      <w:pPr>
        <w:tabs>
          <w:tab w:val="left" w:pos="3550"/>
        </w:tabs>
        <w:spacing w:line="360" w:lineRule="auto"/>
        <w:ind w:left="567" w:right="1128"/>
        <w:rPr>
          <w:rFonts w:ascii="Arial" w:eastAsia="Arial" w:hAnsi="Arial" w:cs="Arial"/>
        </w:rPr>
      </w:pPr>
    </w:p>
    <w:p w14:paraId="03D0AAD3" w14:textId="3E2C1C1E"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D3F7E12" wp14:editId="17975570">
            <wp:extent cx="3837600" cy="2880000"/>
            <wp:effectExtent l="0" t="0" r="0" b="3175"/>
            <wp:docPr id="6594990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99025" name="Grafik 6594990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0ADAC0F6"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Champ avec planification complète des routes et des scénarios géoréférencés enregistrés. Les modes d’application sont enregistrés après le point de coupure, ils sont activés et désactivés automatiquement en parcourant la parcelle</w:t>
      </w:r>
    </w:p>
    <w:p w14:paraId="5DCAF9E1" w14:textId="77777777" w:rsidR="00342AB4" w:rsidRDefault="00342AB4" w:rsidP="00175249">
      <w:pPr>
        <w:tabs>
          <w:tab w:val="left" w:pos="3550"/>
        </w:tabs>
        <w:spacing w:line="360" w:lineRule="auto"/>
        <w:ind w:right="1128"/>
        <w:rPr>
          <w:rFonts w:ascii="Arial" w:eastAsia="Arial" w:hAnsi="Arial" w:cs="Arial"/>
        </w:rPr>
      </w:pPr>
    </w:p>
    <w:p w14:paraId="2B9D983B" w14:textId="77777777" w:rsidR="00342AB4" w:rsidRDefault="00342AB4" w:rsidP="00161FDD">
      <w:pPr>
        <w:tabs>
          <w:tab w:val="left" w:pos="3550"/>
        </w:tabs>
        <w:spacing w:line="360" w:lineRule="auto"/>
        <w:ind w:left="567" w:right="1128"/>
        <w:rPr>
          <w:rFonts w:ascii="Arial" w:eastAsia="Arial" w:hAnsi="Arial" w:cs="Arial"/>
        </w:rPr>
      </w:pPr>
    </w:p>
    <w:p w14:paraId="26955DBF" w14:textId="57782AEF"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813FE59" wp14:editId="41EF6235">
            <wp:extent cx="1422000" cy="2880000"/>
            <wp:effectExtent l="0" t="0" r="635" b="3175"/>
            <wp:docPr id="143534698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46988" name="Grafik 14353469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1BB2FE3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Le conducteur reçoit de la part du responsable d’exploitation des nouvelles données de chantier par le biais d’un service Messenger, envoyées directement sur son smartphone.</w:t>
      </w:r>
    </w:p>
    <w:p w14:paraId="7EEE666D" w14:textId="77777777" w:rsidR="00342AB4" w:rsidRDefault="00342AB4" w:rsidP="00161FDD">
      <w:pPr>
        <w:tabs>
          <w:tab w:val="left" w:pos="3550"/>
        </w:tabs>
        <w:spacing w:line="360" w:lineRule="auto"/>
        <w:ind w:left="567" w:right="1128"/>
        <w:rPr>
          <w:rFonts w:ascii="Arial" w:eastAsia="Arial" w:hAnsi="Arial" w:cs="Arial"/>
        </w:rPr>
      </w:pPr>
    </w:p>
    <w:p w14:paraId="07622A18" w14:textId="77777777" w:rsidR="00342AB4" w:rsidRDefault="00342AB4" w:rsidP="00161FDD">
      <w:pPr>
        <w:tabs>
          <w:tab w:val="left" w:pos="3550"/>
        </w:tabs>
        <w:spacing w:line="360" w:lineRule="auto"/>
        <w:ind w:left="567" w:right="1128"/>
        <w:rPr>
          <w:rFonts w:ascii="Arial" w:eastAsia="Arial" w:hAnsi="Arial" w:cs="Arial"/>
        </w:rPr>
      </w:pPr>
    </w:p>
    <w:p w14:paraId="78BE4A6A" w14:textId="0F0F235A" w:rsidR="00342AB4" w:rsidRDefault="00342AB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52CBFC13" wp14:editId="5EC18A9C">
            <wp:extent cx="1422000" cy="2880000"/>
            <wp:effectExtent l="0" t="0" r="635" b="3175"/>
            <wp:docPr id="13994933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93336" name="Grafik 13994933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754033C8"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Le conducteur envoie le chantier à l’application </w:t>
      </w:r>
      <w:proofErr w:type="spellStart"/>
      <w:r>
        <w:rPr>
          <w:rFonts w:ascii="Arial" w:hAnsi="Arial"/>
        </w:rPr>
        <w:t>myAmaRouter</w:t>
      </w:r>
      <w:proofErr w:type="spellEnd"/>
      <w:r>
        <w:rPr>
          <w:rFonts w:ascii="Arial" w:hAnsi="Arial"/>
        </w:rPr>
        <w:t xml:space="preserve"> et reçoit automatiquement une demande d’importation sur l’</w:t>
      </w:r>
      <w:proofErr w:type="spellStart"/>
      <w:r>
        <w:rPr>
          <w:rFonts w:ascii="Arial" w:hAnsi="Arial"/>
        </w:rPr>
        <w:t>AmaTron</w:t>
      </w:r>
      <w:proofErr w:type="spellEnd"/>
      <w:r>
        <w:rPr>
          <w:rFonts w:ascii="Arial" w:hAnsi="Arial"/>
        </w:rPr>
        <w:t xml:space="preserve"> 4 si la connexion WIFI est assurée.</w:t>
      </w:r>
    </w:p>
    <w:p w14:paraId="13A5A488" w14:textId="77777777" w:rsidR="00342AB4" w:rsidRDefault="00342AB4" w:rsidP="00161FDD">
      <w:pPr>
        <w:tabs>
          <w:tab w:val="left" w:pos="3550"/>
        </w:tabs>
        <w:spacing w:line="360" w:lineRule="auto"/>
        <w:ind w:left="567" w:right="1128"/>
        <w:rPr>
          <w:rFonts w:ascii="Arial" w:eastAsia="Arial" w:hAnsi="Arial" w:cs="Arial"/>
        </w:rPr>
      </w:pPr>
    </w:p>
    <w:p w14:paraId="04EB0BC3" w14:textId="77777777" w:rsidR="00342AB4" w:rsidRDefault="00342AB4" w:rsidP="00161FDD">
      <w:pPr>
        <w:tabs>
          <w:tab w:val="left" w:pos="3550"/>
        </w:tabs>
        <w:spacing w:line="360" w:lineRule="auto"/>
        <w:ind w:left="567" w:right="1128"/>
        <w:rPr>
          <w:rFonts w:ascii="Arial" w:eastAsia="Arial" w:hAnsi="Arial" w:cs="Arial"/>
        </w:rPr>
      </w:pPr>
    </w:p>
    <w:p w14:paraId="49EF80A4" w14:textId="38E9F112" w:rsidR="00342AB4" w:rsidRDefault="00342AB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1D2042D" wp14:editId="6DFB5A3B">
            <wp:extent cx="1422000" cy="2880000"/>
            <wp:effectExtent l="0" t="0" r="635" b="3175"/>
            <wp:docPr id="9815270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27064" name="Grafik 98152706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57A6855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Le conducteur peut exporter du terminal le chantier réalisé et l’envoyer pour documentation au responsable d’exploitation, par le biais d’un service Messenger.</w:t>
      </w:r>
    </w:p>
    <w:p w14:paraId="495850A1" w14:textId="77777777" w:rsidR="00342AB4" w:rsidRDefault="00342AB4" w:rsidP="00161FDD">
      <w:pPr>
        <w:tabs>
          <w:tab w:val="left" w:pos="3550"/>
        </w:tabs>
        <w:spacing w:line="360" w:lineRule="auto"/>
        <w:ind w:left="567" w:right="1128"/>
        <w:rPr>
          <w:rFonts w:ascii="Arial" w:eastAsia="Arial" w:hAnsi="Arial" w:cs="Arial"/>
        </w:rPr>
      </w:pPr>
    </w:p>
    <w:p w14:paraId="65173C3B" w14:textId="77777777" w:rsidR="00342AB4" w:rsidRDefault="00342AB4"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61D3F840"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20"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6"/>
      <w:headerReference w:type="default" r:id="rId37"/>
      <w:footerReference w:type="even" r:id="rId38"/>
      <w:footerReference w:type="default" r:id="rId39"/>
      <w:headerReference w:type="first" r:id="rId40"/>
      <w:footerReference w:type="first" r:id="rId4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3DEBB" w14:textId="77777777" w:rsidR="00B943CB" w:rsidRDefault="00B943CB">
      <w:r>
        <w:separator/>
      </w:r>
    </w:p>
  </w:endnote>
  <w:endnote w:type="continuationSeparator" w:id="0">
    <w:p w14:paraId="72809CD3" w14:textId="77777777" w:rsidR="00B943CB" w:rsidRDefault="00B94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B15ED" w14:textId="77777777" w:rsidR="00B943CB" w:rsidRDefault="00B943CB">
      <w:r>
        <w:separator/>
      </w:r>
    </w:p>
  </w:footnote>
  <w:footnote w:type="continuationSeparator" w:id="0">
    <w:p w14:paraId="5141724B" w14:textId="77777777" w:rsidR="00B943CB" w:rsidRDefault="00B94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2"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23A69"/>
    <w:multiLevelType w:val="hybridMultilevel"/>
    <w:tmpl w:val="3E9AF64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4"/>
  </w:num>
  <w:num w:numId="8" w16cid:durableId="294531490">
    <w:abstractNumId w:val="20"/>
  </w:num>
  <w:num w:numId="9" w16cid:durableId="2071071478">
    <w:abstractNumId w:val="5"/>
  </w:num>
  <w:num w:numId="10" w16cid:durableId="136532471">
    <w:abstractNumId w:val="13"/>
  </w:num>
  <w:num w:numId="11" w16cid:durableId="2055814173">
    <w:abstractNumId w:val="19"/>
  </w:num>
  <w:num w:numId="12" w16cid:durableId="636498599">
    <w:abstractNumId w:val="25"/>
  </w:num>
  <w:num w:numId="13" w16cid:durableId="118423553">
    <w:abstractNumId w:val="36"/>
  </w:num>
  <w:num w:numId="14" w16cid:durableId="1499079657">
    <w:abstractNumId w:val="26"/>
  </w:num>
  <w:num w:numId="15" w16cid:durableId="556353878">
    <w:abstractNumId w:val="28"/>
  </w:num>
  <w:num w:numId="16" w16cid:durableId="1202472297">
    <w:abstractNumId w:val="4"/>
  </w:num>
  <w:num w:numId="17" w16cid:durableId="50662991">
    <w:abstractNumId w:val="27"/>
  </w:num>
  <w:num w:numId="18" w16cid:durableId="57364874">
    <w:abstractNumId w:val="34"/>
  </w:num>
  <w:num w:numId="19" w16cid:durableId="270091963">
    <w:abstractNumId w:val="9"/>
  </w:num>
  <w:num w:numId="20" w16cid:durableId="518081582">
    <w:abstractNumId w:val="14"/>
  </w:num>
  <w:num w:numId="21" w16cid:durableId="756825060">
    <w:abstractNumId w:val="15"/>
  </w:num>
  <w:num w:numId="22" w16cid:durableId="2112163992">
    <w:abstractNumId w:val="18"/>
  </w:num>
  <w:num w:numId="23" w16cid:durableId="2081441875">
    <w:abstractNumId w:val="21"/>
  </w:num>
  <w:num w:numId="24" w16cid:durableId="592130352">
    <w:abstractNumId w:val="17"/>
  </w:num>
  <w:num w:numId="25" w16cid:durableId="1626614287">
    <w:abstractNumId w:val="12"/>
  </w:num>
  <w:num w:numId="26" w16cid:durableId="1359969215">
    <w:abstractNumId w:val="8"/>
  </w:num>
  <w:num w:numId="27" w16cid:durableId="1731995061">
    <w:abstractNumId w:val="29"/>
  </w:num>
  <w:num w:numId="28" w16cid:durableId="2005433713">
    <w:abstractNumId w:val="10"/>
  </w:num>
  <w:num w:numId="29" w16cid:durableId="1023476041">
    <w:abstractNumId w:val="30"/>
  </w:num>
  <w:num w:numId="30" w16cid:durableId="1410611730">
    <w:abstractNumId w:val="2"/>
  </w:num>
  <w:num w:numId="31" w16cid:durableId="1756586239">
    <w:abstractNumId w:val="31"/>
  </w:num>
  <w:num w:numId="32" w16cid:durableId="1712730855">
    <w:abstractNumId w:val="35"/>
  </w:num>
  <w:num w:numId="33" w16cid:durableId="655963705">
    <w:abstractNumId w:val="22"/>
  </w:num>
  <w:num w:numId="34" w16cid:durableId="1585602824">
    <w:abstractNumId w:val="32"/>
  </w:num>
  <w:num w:numId="35" w16cid:durableId="1778133553">
    <w:abstractNumId w:val="23"/>
  </w:num>
  <w:num w:numId="36" w16cid:durableId="893661469">
    <w:abstractNumId w:val="16"/>
  </w:num>
  <w:num w:numId="37" w16cid:durableId="57995022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249"/>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38BC"/>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4D"/>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3CB"/>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footer" Target="footer2.xml"/><Relationship Id="rId21" Type="http://schemas.openxmlformats.org/officeDocument/2006/relationships/hyperlink" Target="https://www.facebook.com/amazone.france" TargetMode="External"/><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amazone.fr" TargetMode="External"/><Relationship Id="rId29" Type="http://schemas.openxmlformats.org/officeDocument/2006/relationships/image" Target="cid:YT_e9180d16-5a2b-4618-92e9-22a015f9cafb.jpg"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france" TargetMode="External"/><Relationship Id="rId32" Type="http://schemas.openxmlformats.org/officeDocument/2006/relationships/image" Target="cid:LinkedIn_80de4e9c-c7a3-41e3-8e11-063f7eace13d.jpg"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france/" TargetMode="External"/><Relationship Id="rId35" Type="http://schemas.openxmlformats.org/officeDocument/2006/relationships/image" Target="cid:Xing1_e3730686-2953-47a9-9c47-dbaa518a9207.jpg"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1805</Words>
  <Characters>11375</Characters>
  <Application>Microsoft Office Word</Application>
  <DocSecurity>0</DocSecurity>
  <Lines>94</Lines>
  <Paragraphs>26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13154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2023-09-06T13:39:00Z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