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812F80" w14:textId="77777777" w:rsidR="00882CC3" w:rsidRDefault="00882CC3" w:rsidP="00286F7C">
      <w:pPr>
        <w:spacing w:after="120" w:line="360" w:lineRule="auto"/>
        <w:ind w:left="567" w:right="1695"/>
        <w:rPr>
          <w:rFonts w:ascii="Arial" w:eastAsia="Arial" w:hAnsi="Arial" w:cs="Arial"/>
          <w:b/>
          <w:bCs/>
          <w:sz w:val="28"/>
          <w:szCs w:val="28"/>
        </w:rPr>
      </w:pPr>
    </w:p>
    <w:p w14:paraId="2D8D655E" w14:textId="569F3A01" w:rsidR="007F4B8C" w:rsidRPr="00826DF1" w:rsidRDefault="007F4B8C" w:rsidP="00286F7C">
      <w:pPr>
        <w:spacing w:after="120" w:line="360" w:lineRule="auto"/>
        <w:ind w:left="567" w:right="1695"/>
        <w:rPr>
          <w:rFonts w:ascii="Arial" w:eastAsia="Arial" w:hAnsi="Arial" w:cs="Arial"/>
          <w:b/>
          <w:bCs/>
          <w:sz w:val="28"/>
          <w:szCs w:val="28"/>
        </w:rPr>
      </w:pPr>
      <w:r>
        <w:rPr>
          <w:rFonts w:ascii="Arial" w:hAnsi="Arial"/>
          <w:b/>
          <w:sz w:val="28"/>
        </w:rPr>
        <w:t xml:space="preserve">AMAZONE InsectGuard protege de forma demostrable a más insectos </w:t>
      </w:r>
    </w:p>
    <w:p w14:paraId="531043A7" w14:textId="1E9DDB09" w:rsidR="00826DF1" w:rsidRPr="00826DF1" w:rsidRDefault="00826DF1" w:rsidP="00286F7C">
      <w:pPr>
        <w:spacing w:after="120" w:line="360" w:lineRule="auto"/>
        <w:ind w:left="567" w:right="1695"/>
        <w:rPr>
          <w:rFonts w:ascii="Arial" w:eastAsia="Arial" w:hAnsi="Arial" w:cs="Arial"/>
          <w:b/>
          <w:bCs/>
          <w:i/>
          <w:iCs/>
        </w:rPr>
      </w:pPr>
      <w:r>
        <w:rPr>
          <w:rFonts w:ascii="Arial" w:hAnsi="Arial"/>
          <w:b/>
          <w:i/>
        </w:rPr>
        <w:t>La Universidad de Hohenheim prueba la eficacia de InsectGuard</w:t>
      </w:r>
    </w:p>
    <w:p w14:paraId="56B0CF3E" w14:textId="5B718757" w:rsidR="00921FE3" w:rsidRDefault="00921FE3" w:rsidP="001D5F6F">
      <w:pPr>
        <w:spacing w:after="120" w:line="360" w:lineRule="auto"/>
        <w:ind w:left="567" w:right="1695"/>
        <w:rPr>
          <w:rFonts w:ascii="Arial" w:hAnsi="Arial" w:cs="Arial"/>
          <w:b/>
          <w:bCs/>
          <w:sz w:val="28"/>
          <w:szCs w:val="28"/>
        </w:rPr>
      </w:pPr>
    </w:p>
    <w:p w14:paraId="4CDA2272" w14:textId="121851E6" w:rsidR="004D01DE" w:rsidRDefault="00BA5618" w:rsidP="004D01DE">
      <w:pPr>
        <w:spacing w:after="120" w:line="360" w:lineRule="auto"/>
        <w:ind w:left="567" w:right="1695"/>
        <w:rPr>
          <w:rFonts w:ascii="Arial" w:eastAsia="Arial" w:hAnsi="Arial" w:cs="Arial"/>
        </w:rPr>
      </w:pPr>
      <w:r>
        <w:rPr>
          <w:rFonts w:ascii="Arial" w:hAnsi="Arial"/>
        </w:rPr>
        <w:t xml:space="preserve">Con el objetivo de fomentar una técnica de siega sostenible y respetuosa con los insectos, AMAZONE ha desarrollado el dispositivo repelente de insectos InsectGuard. El dispositivo, que puede montarse fácilmente en la segadora autopropulsada Profihopper, delante del mecanismo de corte delantero, funciona de forma mecánica y ahuyenta a los insectos de la zona de peligro antes de que comience el proceso de siega propiamente dicho. </w:t>
      </w:r>
    </w:p>
    <w:p w14:paraId="59937C8F" w14:textId="064040DE" w:rsidR="00492DF9" w:rsidRDefault="004D01DE" w:rsidP="00492DF9">
      <w:pPr>
        <w:spacing w:after="120" w:line="360" w:lineRule="auto"/>
        <w:ind w:left="567" w:right="1695"/>
        <w:rPr>
          <w:rFonts w:ascii="Arial" w:eastAsia="Arial" w:hAnsi="Arial" w:cs="Arial"/>
        </w:rPr>
      </w:pPr>
      <w:r>
        <w:rPr>
          <w:rFonts w:ascii="Arial" w:hAnsi="Arial"/>
        </w:rPr>
        <w:t xml:space="preserve">La eficacia de esta innovación se analizó en el marco de una tesis de máster realizada por Elias Windmüller en el Instituto de Ingeniería Agrícola de la Universidad de Hohenheim. Los resultados confirman la eficacia de la tecnología: mediante el uso de InsectGuard se logró proteger a un número significativamente mayor de insectos durante los trabajos de siega. </w:t>
      </w:r>
    </w:p>
    <w:p w14:paraId="3232DBC4" w14:textId="74EA03EA" w:rsidR="002D5251" w:rsidRDefault="00415C7D" w:rsidP="00F95DF5">
      <w:pPr>
        <w:spacing w:after="120" w:line="360" w:lineRule="auto"/>
        <w:ind w:left="567" w:right="1695"/>
        <w:rPr>
          <w:rFonts w:ascii="Arial" w:eastAsia="Arial" w:hAnsi="Arial" w:cs="Arial"/>
        </w:rPr>
      </w:pPr>
      <w:r>
        <w:rPr>
          <w:rFonts w:ascii="Arial" w:hAnsi="Arial"/>
        </w:rPr>
        <w:t>Para las pruebas de evaluación se instaló un bastidor de captura encima del mecanismo de corte. Los ensayos demostraron que, con el uso del dispositivo repelente de insectos durante la siega, se capturó a un número significativamente mayor de insectos en el bastidor de captura. Según la superficie de prueba, se logró ahuyentar hasta un 46 % más de insectos. Este mayor número de insectos se registró en la zona situada por encima del InsectGuard, lo que demuestra su efecto positivo en insectos voladores.</w:t>
      </w:r>
    </w:p>
    <w:p w14:paraId="65A571E7" w14:textId="3B3D01CD" w:rsidR="00E36279" w:rsidRDefault="002D5251" w:rsidP="00E36279">
      <w:pPr>
        <w:spacing w:after="120" w:line="360" w:lineRule="auto"/>
        <w:ind w:left="567" w:right="1695"/>
        <w:rPr>
          <w:rFonts w:ascii="Arial" w:eastAsia="Arial" w:hAnsi="Arial" w:cs="Arial"/>
        </w:rPr>
      </w:pPr>
      <w:r>
        <w:rPr>
          <w:rFonts w:ascii="Arial" w:hAnsi="Arial"/>
        </w:rPr>
        <w:t>Los resultados de la tesis de máster confirman que AMAZONE ha desarrollado una solución viable y eficaz para la protección de insectos en el ámbito municipal, contribuyendo así a la conservación de la biodiversidad.</w:t>
      </w:r>
    </w:p>
    <w:p w14:paraId="1B2B549C" w14:textId="56D2C6B4" w:rsidR="006634B7" w:rsidRDefault="006634B7">
      <w:pPr>
        <w:rPr>
          <w:rFonts w:ascii="Arial" w:eastAsia="Arial" w:hAnsi="Arial" w:cs="Arial"/>
        </w:rPr>
      </w:pPr>
      <w:r>
        <w:br w:type="page"/>
      </w:r>
    </w:p>
    <w:p w14:paraId="0B2F337E" w14:textId="77777777" w:rsidR="006634B7" w:rsidRDefault="006634B7" w:rsidP="00E3627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E0EC976" wp14:editId="05664656">
            <wp:extent cx="5485765" cy="3496612"/>
            <wp:effectExtent l="0" t="0" r="635" b="8890"/>
            <wp:docPr id="8835318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937" t="16149" r="6866" b="11444"/>
                    <a:stretch/>
                  </pic:blipFill>
                  <pic:spPr bwMode="auto">
                    <a:xfrm>
                      <a:off x="0" y="0"/>
                      <a:ext cx="5486400" cy="3497017"/>
                    </a:xfrm>
                    <a:prstGeom prst="rect">
                      <a:avLst/>
                    </a:prstGeom>
                    <a:noFill/>
                    <a:ln>
                      <a:noFill/>
                    </a:ln>
                    <a:extLst>
                      <a:ext uri="{53640926-AAD7-44D8-BBD7-CCE9431645EC}">
                        <a14:shadowObscured xmlns:a14="http://schemas.microsoft.com/office/drawing/2010/main"/>
                      </a:ext>
                    </a:extLst>
                  </pic:spPr>
                </pic:pic>
              </a:graphicData>
            </a:graphic>
          </wp:inline>
        </w:drawing>
      </w:r>
    </w:p>
    <w:p w14:paraId="054C3FD3" w14:textId="267B980C" w:rsidR="006634B7" w:rsidRPr="00882CC3" w:rsidRDefault="00B815D6" w:rsidP="00C058AB">
      <w:pPr>
        <w:spacing w:after="120" w:line="360" w:lineRule="auto"/>
        <w:ind w:left="567" w:right="867"/>
        <w:rPr>
          <w:rFonts w:ascii="Arial" w:eastAsia="Arial" w:hAnsi="Arial" w:cs="Arial"/>
          <w:i/>
          <w:iCs/>
          <w:sz w:val="22"/>
          <w:szCs w:val="22"/>
        </w:rPr>
      </w:pPr>
      <w:r>
        <w:rPr>
          <w:rFonts w:ascii="Arial" w:hAnsi="Arial"/>
          <w:i/>
          <w:sz w:val="22"/>
        </w:rPr>
        <w:t xml:space="preserve">Los ensayos realizados como parte de la tesis de máster de Elias Windmüller en el Instituto de Ingeniería Agrícola de la Universidad de Hohenheim han demostrado que el uso de InsectGuard ahuyenta hasta un 46 % más de insectos, dependiendo de la superficie de prueba. </w:t>
      </w:r>
    </w:p>
    <w:p w14:paraId="38E8F2CD" w14:textId="096BD4AB" w:rsidR="004A4E71" w:rsidRDefault="006634B7" w:rsidP="00882CC3">
      <w:pPr>
        <w:spacing w:after="120" w:line="360" w:lineRule="auto"/>
        <w:ind w:left="567" w:right="1695"/>
        <w:rPr>
          <w:rFonts w:ascii="Arial" w:eastAsia="Arial" w:hAnsi="Arial" w:cs="Arial"/>
        </w:rPr>
      </w:pPr>
      <w:r>
        <w:rPr>
          <w:rFonts w:ascii="Arial" w:hAnsi="Arial"/>
          <w:noProof/>
        </w:rPr>
        <w:drawing>
          <wp:inline distT="0" distB="0" distL="0" distR="0" wp14:anchorId="7C540330" wp14:editId="509BD5CF">
            <wp:extent cx="5484265" cy="3496038"/>
            <wp:effectExtent l="0" t="0" r="2540" b="9525"/>
            <wp:docPr id="20475859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146" b="1"/>
                    <a:stretch/>
                  </pic:blipFill>
                  <pic:spPr bwMode="auto">
                    <a:xfrm>
                      <a:off x="0" y="0"/>
                      <a:ext cx="5486400" cy="3497399"/>
                    </a:xfrm>
                    <a:prstGeom prst="rect">
                      <a:avLst/>
                    </a:prstGeom>
                    <a:noFill/>
                    <a:ln>
                      <a:noFill/>
                    </a:ln>
                    <a:extLst>
                      <a:ext uri="{53640926-AAD7-44D8-BBD7-CCE9431645EC}">
                        <a14:shadowObscured xmlns:a14="http://schemas.microsoft.com/office/drawing/2010/main"/>
                      </a:ext>
                    </a:extLst>
                  </pic:spPr>
                </pic:pic>
              </a:graphicData>
            </a:graphic>
          </wp:inline>
        </w:drawing>
      </w:r>
    </w:p>
    <w:p w14:paraId="575865B1" w14:textId="717F06A3" w:rsidR="00882CC3" w:rsidRPr="00882CC3" w:rsidRDefault="00882CC3" w:rsidP="00C058AB">
      <w:pPr>
        <w:spacing w:after="120" w:line="360" w:lineRule="auto"/>
        <w:ind w:left="567" w:right="57"/>
        <w:rPr>
          <w:rFonts w:ascii="Arial" w:eastAsia="Arial" w:hAnsi="Arial" w:cs="Arial"/>
          <w:i/>
          <w:iCs/>
          <w:sz w:val="22"/>
          <w:szCs w:val="22"/>
        </w:rPr>
      </w:pPr>
      <w:r>
        <w:rPr>
          <w:rFonts w:ascii="Arial" w:hAnsi="Arial"/>
          <w:i/>
          <w:sz w:val="22"/>
        </w:rPr>
        <w:t>Mediante el dispositivo repelente de insectos InsectGuard instalado delante del mecanismo de corte se logra reducir significativamente el número de insectos durante la siega de praderas y franjas verdes.</w:t>
      </w:r>
    </w:p>
    <w:p w14:paraId="5BB76ED3" w14:textId="620AA0B1"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w:t>
      </w:r>
    </w:p>
    <w:p w14:paraId="27237204" w14:textId="77777777" w:rsidR="00A42ED2" w:rsidRDefault="00A42ED2" w:rsidP="00A42ED2">
      <w:pPr>
        <w:spacing w:after="120" w:line="360" w:lineRule="auto"/>
        <w:ind w:left="567" w:right="1695"/>
        <w:rPr>
          <w:rFonts w:ascii="Arial" w:hAnsi="Arial" w:cs="Arial"/>
          <w:bCs/>
        </w:rPr>
      </w:pPr>
    </w:p>
    <w:p w14:paraId="15D9C35F"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5E28C4AA" w14:textId="77777777" w:rsidR="002B1673"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5D0D8D97" w14:textId="43AF6C9A" w:rsidR="00A42ED2" w:rsidRPr="00E12CE4"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Más información: </w:t>
      </w:r>
      <w:hyperlink r:id="rId10" w:history="1">
        <w:r w:rsidR="00C058AB" w:rsidRPr="00AA1520">
          <w:rPr>
            <w:rStyle w:val="Hyperlink"/>
            <w:rFonts w:ascii="Arial" w:hAnsi="Arial"/>
            <w:sz w:val="20"/>
          </w:rPr>
          <w:t>www.amazone.net/es</w:t>
        </w:r>
      </w:hyperlink>
    </w:p>
    <w:p w14:paraId="6BFDBFE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00B81043" wp14:editId="305479E3">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D4BF00" wp14:editId="03B03790">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A502EE6" wp14:editId="1123E365">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D74D82" wp14:editId="66C52BB5">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52ABF25" wp14:editId="43F3BE51">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882CC3">
      <w:headerReference w:type="default" r:id="rId26"/>
      <w:footerReference w:type="default" r:id="rId27"/>
      <w:pgSz w:w="11901" w:h="16840" w:code="9"/>
      <w:pgMar w:top="1440" w:right="567" w:bottom="12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C42BC" w14:textId="77777777" w:rsidR="003D6979" w:rsidRDefault="003D6979">
      <w:r>
        <w:separator/>
      </w:r>
    </w:p>
  </w:endnote>
  <w:endnote w:type="continuationSeparator" w:id="0">
    <w:p w14:paraId="0C1D1699" w14:textId="77777777" w:rsidR="003D6979" w:rsidRDefault="003D6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83DE5"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7482AA4B" wp14:editId="53CBED04">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811D22"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82AA4B"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5D811D22" w14:textId="77777777" w:rsidR="005E0980" w:rsidRPr="0093254A" w:rsidRDefault="005E0980" w:rsidP="006F7755">
                    <w:pPr>
                      <w:ind w:right="57"/>
                      <w:jc w:val="right"/>
                      <w:rPr>
                        <w:sz w:val="20"/>
                        <w:rFonts w:ascii="Arial" w:hAnsi="Arial"/>
                      </w:rPr>
                    </w:pPr>
                    <w:r>
                      <w:rPr>
                        <w:sz w:val="20"/>
                        <w:rFonts w:ascii="Arial" w:hAnsi="Arial"/>
                      </w:rPr>
                      <w:t xml:space="preserve">Página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de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1509056" wp14:editId="1ABE23F0">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F03A6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0B7568DC" wp14:editId="32447C04">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4D26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085672DC" wp14:editId="7781076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145B0E"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79F62D88" w14:textId="77777777" w:rsidR="005E0980" w:rsidRPr="00D744EF"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672DC"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7A145B0E"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Co. KG.   Am Amazonenwerk 9–13 · D-49205 Hasbergen-Gaste</w:t>
                    </w:r>
                  </w:p>
                  <w:p w14:paraId="79F62D88" w14:textId="77777777" w:rsidR="005E0980" w:rsidRPr="00D744EF" w:rsidRDefault="005E0980" w:rsidP="006F7755">
                    <w:pPr>
                      <w:spacing w:line="280" w:lineRule="exact"/>
                      <w:rPr>
                        <w:spacing w:val="2"/>
                        <w:sz w:val="20"/>
                        <w:rFonts w:ascii="Arial" w:hAnsi="Arial"/>
                      </w:rPr>
                    </w:pPr>
                    <w:r>
                      <w:rPr>
                        <w:sz w:val="20"/>
                        <w:rFonts w:ascii="Arial" w:hAnsi="Arial"/>
                      </w:rPr>
                      <w:t xml:space="preserve">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CF1F3" w14:textId="77777777" w:rsidR="003D6979" w:rsidRDefault="003D6979">
      <w:r>
        <w:separator/>
      </w:r>
    </w:p>
  </w:footnote>
  <w:footnote w:type="continuationSeparator" w:id="0">
    <w:p w14:paraId="2B5FE567" w14:textId="77777777" w:rsidR="003D6979" w:rsidRDefault="003D69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F8A8E"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72242C02" wp14:editId="70B940D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F82FFD" w14:textId="06193452" w:rsidR="003D6979" w:rsidRPr="003D6979" w:rsidRDefault="004A4E71" w:rsidP="003D6979">
                          <w:pPr>
                            <w:pStyle w:val="StandardWeb"/>
                            <w:spacing w:after="0" w:afterAutospacing="0"/>
                            <w:jc w:val="right"/>
                            <w:rPr>
                              <w:rFonts w:ascii="Arial" w:hAnsi="Arial" w:cs="Arial"/>
                              <w:color w:val="FFFFFF" w:themeColor="background1"/>
                              <w:kern w:val="24"/>
                              <w:sz w:val="28"/>
                              <w:szCs w:val="28"/>
                            </w:rPr>
                          </w:pPr>
                          <w:r>
                            <w:rPr>
                              <w:rFonts w:ascii="Arial" w:hAnsi="Arial"/>
                              <w:color w:val="FFFFFF" w:themeColor="background1"/>
                              <w:sz w:val="28"/>
                            </w:rPr>
                            <w:t>Nota de prensa ju</w:t>
                          </w:r>
                          <w:r w:rsidR="00C058AB">
                            <w:rPr>
                              <w:rFonts w:ascii="Arial" w:hAnsi="Arial"/>
                              <w:color w:val="FFFFFF" w:themeColor="background1"/>
                              <w:sz w:val="28"/>
                            </w:rPr>
                            <w:t>l</w:t>
                          </w:r>
                          <w:r>
                            <w:rPr>
                              <w:rFonts w:ascii="Arial" w:hAnsi="Arial"/>
                              <w:color w:val="FFFFFF" w:themeColor="background1"/>
                              <w:sz w:val="28"/>
                            </w:rPr>
                            <w:t>io de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2242C0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DF82FFD" w14:textId="06193452" w:rsidR="003D6979" w:rsidRPr="003D6979" w:rsidRDefault="004A4E71" w:rsidP="003D6979">
                    <w:pPr>
                      <w:pStyle w:val="StandardWeb"/>
                      <w:spacing w:after="0" w:afterAutospacing="0"/>
                      <w:jc w:val="right"/>
                      <w:rPr>
                        <w:rFonts w:ascii="Arial" w:hAnsi="Arial" w:cs="Arial"/>
                        <w:color w:val="FFFFFF" w:themeColor="background1"/>
                        <w:kern w:val="24"/>
                        <w:sz w:val="28"/>
                        <w:szCs w:val="28"/>
                      </w:rPr>
                    </w:pPr>
                    <w:r>
                      <w:rPr>
                        <w:rFonts w:ascii="Arial" w:hAnsi="Arial"/>
                        <w:color w:val="FFFFFF" w:themeColor="background1"/>
                        <w:sz w:val="28"/>
                      </w:rPr>
                      <w:t>Nota de prensa ju</w:t>
                    </w:r>
                    <w:r w:rsidR="00C058AB">
                      <w:rPr>
                        <w:rFonts w:ascii="Arial" w:hAnsi="Arial"/>
                        <w:color w:val="FFFFFF" w:themeColor="background1"/>
                        <w:sz w:val="28"/>
                      </w:rPr>
                      <w:t>l</w:t>
                    </w:r>
                    <w:r>
                      <w:rPr>
                        <w:rFonts w:ascii="Arial" w:hAnsi="Arial"/>
                        <w:color w:val="FFFFFF" w:themeColor="background1"/>
                        <w:sz w:val="28"/>
                      </w:rPr>
                      <w:t>io de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DF9322E" wp14:editId="2C06B97F">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EBA78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9070C1D" wp14:editId="3E68793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881E94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9002F04" wp14:editId="2718911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6C0A08D"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002F0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6C0A08D"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79"/>
    <w:rsid w:val="000008BF"/>
    <w:rsid w:val="0000280B"/>
    <w:rsid w:val="00002EA4"/>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5F"/>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79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7F4D"/>
    <w:rsid w:val="0011025F"/>
    <w:rsid w:val="00110789"/>
    <w:rsid w:val="00110EAB"/>
    <w:rsid w:val="00112EDB"/>
    <w:rsid w:val="0011333E"/>
    <w:rsid w:val="00113932"/>
    <w:rsid w:val="00114367"/>
    <w:rsid w:val="00114719"/>
    <w:rsid w:val="0011495E"/>
    <w:rsid w:val="00114C20"/>
    <w:rsid w:val="00114F26"/>
    <w:rsid w:val="0012269E"/>
    <w:rsid w:val="00123447"/>
    <w:rsid w:val="001238CB"/>
    <w:rsid w:val="00123BBE"/>
    <w:rsid w:val="00125E67"/>
    <w:rsid w:val="0012682A"/>
    <w:rsid w:val="00126BDB"/>
    <w:rsid w:val="00126F6D"/>
    <w:rsid w:val="0012731C"/>
    <w:rsid w:val="00127C44"/>
    <w:rsid w:val="00127D12"/>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0FE1"/>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6F7C"/>
    <w:rsid w:val="002902E3"/>
    <w:rsid w:val="002906A8"/>
    <w:rsid w:val="00293D32"/>
    <w:rsid w:val="00293D96"/>
    <w:rsid w:val="002959B4"/>
    <w:rsid w:val="00295EFE"/>
    <w:rsid w:val="00297096"/>
    <w:rsid w:val="002A08F9"/>
    <w:rsid w:val="002A2D94"/>
    <w:rsid w:val="002A4ADB"/>
    <w:rsid w:val="002A65B1"/>
    <w:rsid w:val="002A71E4"/>
    <w:rsid w:val="002B1673"/>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251"/>
    <w:rsid w:val="002D542A"/>
    <w:rsid w:val="002E0264"/>
    <w:rsid w:val="002E08E7"/>
    <w:rsid w:val="002E0C5D"/>
    <w:rsid w:val="002E0F6F"/>
    <w:rsid w:val="002E2407"/>
    <w:rsid w:val="002E3450"/>
    <w:rsid w:val="002E3B81"/>
    <w:rsid w:val="002E3F40"/>
    <w:rsid w:val="002E5188"/>
    <w:rsid w:val="002E51C1"/>
    <w:rsid w:val="002E5A9F"/>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696"/>
    <w:rsid w:val="003657C8"/>
    <w:rsid w:val="00366CAA"/>
    <w:rsid w:val="003671CB"/>
    <w:rsid w:val="00370CBC"/>
    <w:rsid w:val="00371B65"/>
    <w:rsid w:val="00371C85"/>
    <w:rsid w:val="00375B0A"/>
    <w:rsid w:val="0037620D"/>
    <w:rsid w:val="00377951"/>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979"/>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C7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2DF9"/>
    <w:rsid w:val="00495D3F"/>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6E57"/>
    <w:rsid w:val="004B7F70"/>
    <w:rsid w:val="004C35A6"/>
    <w:rsid w:val="004C422B"/>
    <w:rsid w:val="004C549D"/>
    <w:rsid w:val="004C61E9"/>
    <w:rsid w:val="004C7E4E"/>
    <w:rsid w:val="004D01D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BDF"/>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02"/>
    <w:rsid w:val="00565E15"/>
    <w:rsid w:val="005708EB"/>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4FA3"/>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173F2"/>
    <w:rsid w:val="006208D6"/>
    <w:rsid w:val="00620B88"/>
    <w:rsid w:val="00621088"/>
    <w:rsid w:val="00621AC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2C7"/>
    <w:rsid w:val="00643CBA"/>
    <w:rsid w:val="00644D00"/>
    <w:rsid w:val="0064542A"/>
    <w:rsid w:val="0064692D"/>
    <w:rsid w:val="006476AE"/>
    <w:rsid w:val="00647A44"/>
    <w:rsid w:val="006504D5"/>
    <w:rsid w:val="0065335F"/>
    <w:rsid w:val="00653C7C"/>
    <w:rsid w:val="00653D8F"/>
    <w:rsid w:val="006540FC"/>
    <w:rsid w:val="006558D8"/>
    <w:rsid w:val="00655FC8"/>
    <w:rsid w:val="00656B40"/>
    <w:rsid w:val="00657E58"/>
    <w:rsid w:val="00660479"/>
    <w:rsid w:val="00660687"/>
    <w:rsid w:val="00661694"/>
    <w:rsid w:val="006634B7"/>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7CB"/>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0B5"/>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7F2"/>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4B8C"/>
    <w:rsid w:val="007F6027"/>
    <w:rsid w:val="007F60DA"/>
    <w:rsid w:val="007F6F5B"/>
    <w:rsid w:val="007F7695"/>
    <w:rsid w:val="0080288D"/>
    <w:rsid w:val="008059F7"/>
    <w:rsid w:val="008063E3"/>
    <w:rsid w:val="008069D3"/>
    <w:rsid w:val="00814E24"/>
    <w:rsid w:val="00815B40"/>
    <w:rsid w:val="00816CEF"/>
    <w:rsid w:val="008173EB"/>
    <w:rsid w:val="00817CEB"/>
    <w:rsid w:val="0082106F"/>
    <w:rsid w:val="0082147D"/>
    <w:rsid w:val="00821D08"/>
    <w:rsid w:val="00822D04"/>
    <w:rsid w:val="00822F56"/>
    <w:rsid w:val="00824DEA"/>
    <w:rsid w:val="0082511D"/>
    <w:rsid w:val="008266F3"/>
    <w:rsid w:val="00826DF1"/>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313"/>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2CC3"/>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48E"/>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3F8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97F"/>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59C"/>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70C"/>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1944"/>
    <w:rsid w:val="00A52AFA"/>
    <w:rsid w:val="00A52C38"/>
    <w:rsid w:val="00A54C97"/>
    <w:rsid w:val="00A55A28"/>
    <w:rsid w:val="00A57A2A"/>
    <w:rsid w:val="00A60193"/>
    <w:rsid w:val="00A62065"/>
    <w:rsid w:val="00A638A2"/>
    <w:rsid w:val="00A70034"/>
    <w:rsid w:val="00A71300"/>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AB6"/>
    <w:rsid w:val="00AC6EE2"/>
    <w:rsid w:val="00AC702A"/>
    <w:rsid w:val="00AD0821"/>
    <w:rsid w:val="00AD0A4E"/>
    <w:rsid w:val="00AD1745"/>
    <w:rsid w:val="00AD2461"/>
    <w:rsid w:val="00AD3A37"/>
    <w:rsid w:val="00AD4CFD"/>
    <w:rsid w:val="00AE1EBD"/>
    <w:rsid w:val="00AE2244"/>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5D6"/>
    <w:rsid w:val="00B81EDD"/>
    <w:rsid w:val="00B85A30"/>
    <w:rsid w:val="00B90251"/>
    <w:rsid w:val="00B92D20"/>
    <w:rsid w:val="00B93100"/>
    <w:rsid w:val="00B9476A"/>
    <w:rsid w:val="00B94B4C"/>
    <w:rsid w:val="00B9647F"/>
    <w:rsid w:val="00B97245"/>
    <w:rsid w:val="00BA4B47"/>
    <w:rsid w:val="00BA4D0F"/>
    <w:rsid w:val="00BA5618"/>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8AB"/>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8F9"/>
    <w:rsid w:val="00C36C13"/>
    <w:rsid w:val="00C372C7"/>
    <w:rsid w:val="00C37BD5"/>
    <w:rsid w:val="00C42AC0"/>
    <w:rsid w:val="00C43705"/>
    <w:rsid w:val="00C448D9"/>
    <w:rsid w:val="00C44ECA"/>
    <w:rsid w:val="00C451A2"/>
    <w:rsid w:val="00C45CCE"/>
    <w:rsid w:val="00C46998"/>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7A9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5775"/>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4960"/>
    <w:rsid w:val="00D46166"/>
    <w:rsid w:val="00D46DCA"/>
    <w:rsid w:val="00D47C69"/>
    <w:rsid w:val="00D51173"/>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04C"/>
    <w:rsid w:val="00E27DFB"/>
    <w:rsid w:val="00E30156"/>
    <w:rsid w:val="00E3043E"/>
    <w:rsid w:val="00E32A90"/>
    <w:rsid w:val="00E32E07"/>
    <w:rsid w:val="00E33527"/>
    <w:rsid w:val="00E353FA"/>
    <w:rsid w:val="00E36279"/>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E2E"/>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4CD0"/>
    <w:rsid w:val="00F657A8"/>
    <w:rsid w:val="00F65A62"/>
    <w:rsid w:val="00F670F6"/>
    <w:rsid w:val="00F6774C"/>
    <w:rsid w:val="00F71206"/>
    <w:rsid w:val="00F7525F"/>
    <w:rsid w:val="00F8079B"/>
    <w:rsid w:val="00F80F29"/>
    <w:rsid w:val="00F8399A"/>
    <w:rsid w:val="00F923C5"/>
    <w:rsid w:val="00F93065"/>
    <w:rsid w:val="00F93DB3"/>
    <w:rsid w:val="00F94A25"/>
    <w:rsid w:val="00F95DF5"/>
    <w:rsid w:val="00F96279"/>
    <w:rsid w:val="00F968EE"/>
    <w:rsid w:val="00F9691A"/>
    <w:rsid w:val="00FA02A2"/>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544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C5176FC"/>
  <w15:docId w15:val="{D391E982-3954-4A8D-ADB8-05C72F4C2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C058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09569945">
      <w:bodyDiv w:val="1"/>
      <w:marLeft w:val="0"/>
      <w:marRight w:val="0"/>
      <w:marTop w:val="0"/>
      <w:marBottom w:val="0"/>
      <w:divBdr>
        <w:top w:val="none" w:sz="0" w:space="0" w:color="auto"/>
        <w:left w:val="none" w:sz="0" w:space="0" w:color="auto"/>
        <w:bottom w:val="none" w:sz="0" w:space="0" w:color="auto"/>
        <w:right w:val="none" w:sz="0" w:space="0" w:color="auto"/>
      </w:divBdr>
      <w:divsChild>
        <w:div w:id="2107266602">
          <w:marLeft w:val="0"/>
          <w:marRight w:val="0"/>
          <w:marTop w:val="0"/>
          <w:marBottom w:val="0"/>
          <w:divBdr>
            <w:top w:val="none" w:sz="0" w:space="0" w:color="242424"/>
            <w:left w:val="none" w:sz="0" w:space="0" w:color="242424"/>
            <w:bottom w:val="none" w:sz="0" w:space="0" w:color="242424"/>
            <w:right w:val="none" w:sz="0" w:space="0" w:color="242424"/>
          </w:divBdr>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193687365">
      <w:bodyDiv w:val="1"/>
      <w:marLeft w:val="0"/>
      <w:marRight w:val="0"/>
      <w:marTop w:val="0"/>
      <w:marBottom w:val="0"/>
      <w:divBdr>
        <w:top w:val="none" w:sz="0" w:space="0" w:color="auto"/>
        <w:left w:val="none" w:sz="0" w:space="0" w:color="auto"/>
        <w:bottom w:val="none" w:sz="0" w:space="0" w:color="auto"/>
        <w:right w:val="none" w:sz="0" w:space="0" w:color="auto"/>
      </w:divBdr>
      <w:divsChild>
        <w:div w:id="1657344477">
          <w:marLeft w:val="0"/>
          <w:marRight w:val="0"/>
          <w:marTop w:val="0"/>
          <w:marBottom w:val="0"/>
          <w:divBdr>
            <w:top w:val="none" w:sz="0" w:space="0" w:color="242424"/>
            <w:left w:val="none" w:sz="0" w:space="0" w:color="242424"/>
            <w:bottom w:val="none" w:sz="0" w:space="0" w:color="242424"/>
            <w:right w:val="none" w:sz="0" w:space="0" w:color="242424"/>
          </w:divBdr>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075587">
      <w:bodyDiv w:val="1"/>
      <w:marLeft w:val="0"/>
      <w:marRight w:val="0"/>
      <w:marTop w:val="0"/>
      <w:marBottom w:val="0"/>
      <w:divBdr>
        <w:top w:val="none" w:sz="0" w:space="0" w:color="auto"/>
        <w:left w:val="none" w:sz="0" w:space="0" w:color="auto"/>
        <w:bottom w:val="none" w:sz="0" w:space="0" w:color="auto"/>
        <w:right w:val="none" w:sz="0" w:space="0" w:color="auto"/>
      </w:divBdr>
      <w:divsChild>
        <w:div w:id="768739661">
          <w:marLeft w:val="0"/>
          <w:marRight w:val="0"/>
          <w:marTop w:val="0"/>
          <w:marBottom w:val="0"/>
          <w:divBdr>
            <w:top w:val="none" w:sz="0" w:space="0" w:color="242424"/>
            <w:left w:val="none" w:sz="0" w:space="0" w:color="242424"/>
            <w:bottom w:val="none" w:sz="0" w:space="0" w:color="242424"/>
            <w:right w:val="none" w:sz="0" w:space="0" w:color="242424"/>
          </w:divBdr>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882550777">
      <w:bodyDiv w:val="1"/>
      <w:marLeft w:val="0"/>
      <w:marRight w:val="0"/>
      <w:marTop w:val="0"/>
      <w:marBottom w:val="0"/>
      <w:divBdr>
        <w:top w:val="none" w:sz="0" w:space="0" w:color="auto"/>
        <w:left w:val="none" w:sz="0" w:space="0" w:color="auto"/>
        <w:bottom w:val="none" w:sz="0" w:space="0" w:color="auto"/>
        <w:right w:val="none" w:sz="0" w:space="0" w:color="auto"/>
      </w:divBdr>
      <w:divsChild>
        <w:div w:id="1591889792">
          <w:marLeft w:val="0"/>
          <w:marRight w:val="0"/>
          <w:marTop w:val="0"/>
          <w:marBottom w:val="0"/>
          <w:divBdr>
            <w:top w:val="none" w:sz="0" w:space="0" w:color="242424"/>
            <w:left w:val="none" w:sz="0" w:space="0" w:color="242424"/>
            <w:bottom w:val="none" w:sz="0" w:space="0" w:color="242424"/>
            <w:right w:val="none" w:sz="0" w:space="0" w:color="242424"/>
          </w:divBdr>
        </w:div>
      </w:divsChild>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group"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es"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479</Words>
  <Characters>2705</Characters>
  <Application>Microsoft Office Word</Application>
  <DocSecurity>0</DocSecurity>
  <Lines>22</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3178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de nota de prensa</dc:title>
  <dc:subject/>
  <dc:creator>Nadine Berelsmann</dc:creator>
  <cp:keywords/>
  <dc:description/>
  <cp:lastModifiedBy>Berelsmann Nadine</cp:lastModifiedBy>
  <cp:revision>20</cp:revision>
  <cp:lastPrinted>2010-02-24T09:10:00Z</cp:lastPrinted>
  <dcterms:created xsi:type="dcterms:W3CDTF">2025-05-15T08:22:00Z</dcterms:created>
  <dcterms:modified xsi:type="dcterms:W3CDTF">2025-07-01T11:51:00Z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