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787EB" w14:textId="77777777" w:rsidR="00F10E9A" w:rsidRPr="00F10E9A" w:rsidRDefault="00F10E9A" w:rsidP="00F10E9A">
      <w:pPr>
        <w:spacing w:line="360" w:lineRule="auto"/>
        <w:ind w:left="567" w:right="1695"/>
        <w:rPr>
          <w:rFonts w:ascii="Arial" w:hAnsi="Arial" w:cs="Arial"/>
          <w:b/>
          <w:bCs/>
          <w:sz w:val="28"/>
          <w:szCs w:val="28"/>
        </w:rPr>
      </w:pPr>
      <w:proofErr w:type="spellStart"/>
      <w:r>
        <w:rPr>
          <w:rFonts w:ascii="Arial" w:hAnsi="Arial"/>
          <w:b/>
          <w:sz w:val="28"/>
        </w:rPr>
        <w:t>Venterra</w:t>
      </w:r>
      <w:proofErr w:type="spellEnd"/>
      <w:r>
        <w:rPr>
          <w:rFonts w:ascii="Arial" w:hAnsi="Arial"/>
          <w:b/>
          <w:sz w:val="28"/>
        </w:rPr>
        <w:t> VR 4 AMAZONE</w:t>
      </w:r>
    </w:p>
    <w:p w14:paraId="450AE66F" w14:textId="77777777" w:rsidR="00F10E9A" w:rsidRPr="00F10E9A" w:rsidRDefault="00F10E9A" w:rsidP="00753341">
      <w:pPr>
        <w:spacing w:line="360" w:lineRule="auto"/>
        <w:ind w:left="567" w:right="561"/>
        <w:rPr>
          <w:rFonts w:ascii="Arial" w:hAnsi="Arial" w:cs="Arial"/>
          <w:b/>
          <w:bCs/>
        </w:rPr>
      </w:pPr>
      <w:proofErr w:type="gramStart"/>
      <w:r>
        <w:rPr>
          <w:rFonts w:ascii="Arial" w:hAnsi="Arial"/>
          <w:b/>
        </w:rPr>
        <w:t>pour</w:t>
      </w:r>
      <w:proofErr w:type="gramEnd"/>
      <w:r>
        <w:rPr>
          <w:rFonts w:ascii="Arial" w:hAnsi="Arial"/>
          <w:b/>
        </w:rPr>
        <w:t xml:space="preserve"> une efficacité maximale dans la lutte mécanique contre les adventices</w:t>
      </w:r>
    </w:p>
    <w:p w14:paraId="77523A59" w14:textId="77777777" w:rsidR="00070765" w:rsidRDefault="00070765" w:rsidP="00330541">
      <w:pPr>
        <w:spacing w:line="360" w:lineRule="auto"/>
        <w:ind w:left="567" w:right="1695"/>
        <w:rPr>
          <w:rFonts w:ascii="Arial" w:hAnsi="Arial" w:cs="Arial"/>
        </w:rPr>
      </w:pPr>
    </w:p>
    <w:p w14:paraId="3361E78E"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AMAZONE enrichit sa gamme de binage d’un modèle complémentaire pour une efficacité maximale. La nouvelle </w:t>
      </w:r>
      <w:proofErr w:type="spellStart"/>
      <w:r>
        <w:rPr>
          <w:rFonts w:ascii="Arial" w:hAnsi="Arial"/>
        </w:rPr>
        <w:t>Venterra</w:t>
      </w:r>
      <w:proofErr w:type="spellEnd"/>
      <w:r>
        <w:rPr>
          <w:rFonts w:ascii="Arial" w:hAnsi="Arial"/>
        </w:rPr>
        <w:t xml:space="preserve"> VR 4 est proposée dès à présent en largeurs de travail de 7,20 m à 12,80 m et cible les utilisateurs qui travaillent dans des champs de grande superficie et pour qui une efficacité élevée est une exigence de base. Différents parallélogrammes et équipements sont disponibles. Grâce aux largeurs de travail variables et à son repliage en plusieurs parties, la </w:t>
      </w:r>
      <w:proofErr w:type="spellStart"/>
      <w:r>
        <w:rPr>
          <w:rFonts w:ascii="Arial" w:hAnsi="Arial"/>
        </w:rPr>
        <w:t>Venterra</w:t>
      </w:r>
      <w:proofErr w:type="spellEnd"/>
      <w:r>
        <w:rPr>
          <w:rFonts w:ascii="Arial" w:hAnsi="Arial"/>
        </w:rPr>
        <w:t xml:space="preserve"> VR 4 est aussi idéale pour les entrepreneurs de travaux agricoles. </w:t>
      </w:r>
    </w:p>
    <w:p w14:paraId="4DFCF98B" w14:textId="77777777" w:rsidR="00F10E9A" w:rsidRPr="00F10E9A" w:rsidRDefault="00F10E9A" w:rsidP="00F10E9A">
      <w:pPr>
        <w:spacing w:after="120" w:line="360" w:lineRule="auto"/>
        <w:ind w:left="567" w:right="1695"/>
        <w:rPr>
          <w:rFonts w:ascii="Arial" w:eastAsia="Arial" w:hAnsi="Arial" w:cs="Arial"/>
        </w:rPr>
      </w:pPr>
    </w:p>
    <w:p w14:paraId="7CFE23DB"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Préservation optimale du sol</w:t>
      </w:r>
    </w:p>
    <w:p w14:paraId="3CB28B02"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Même avec une largeur de travail importante, la </w:t>
      </w:r>
      <w:proofErr w:type="spellStart"/>
      <w:r>
        <w:rPr>
          <w:rFonts w:ascii="Arial" w:hAnsi="Arial"/>
        </w:rPr>
        <w:t>Venterra</w:t>
      </w:r>
      <w:proofErr w:type="spellEnd"/>
      <w:r>
        <w:rPr>
          <w:rFonts w:ascii="Arial" w:hAnsi="Arial"/>
        </w:rPr>
        <w:t> VR 4 est extrêmement respectueuse du sol. Au maximum 9 roues d'appui répartissent le poids total de la machine de manière optimale sur une grande surface au sol. La construction compacte avec l’interface entièrement intégrée assure un centre de gravité proche de celui du tracteur.</w:t>
      </w:r>
    </w:p>
    <w:p w14:paraId="288BAEB5" w14:textId="77777777" w:rsidR="00F10E9A" w:rsidRPr="00F10E9A" w:rsidRDefault="00F10E9A" w:rsidP="00F10E9A">
      <w:pPr>
        <w:spacing w:after="120" w:line="360" w:lineRule="auto"/>
        <w:ind w:left="567" w:right="1695"/>
        <w:rPr>
          <w:rFonts w:ascii="Arial" w:eastAsia="Arial" w:hAnsi="Arial" w:cs="Arial"/>
        </w:rPr>
      </w:pPr>
    </w:p>
    <w:p w14:paraId="11BA2D93"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Guidage précis de l'outil, quelle que soit la culture</w:t>
      </w:r>
    </w:p>
    <w:p w14:paraId="2E730F62"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Le parallélogramme est le cœur de la </w:t>
      </w:r>
      <w:proofErr w:type="spellStart"/>
      <w:r>
        <w:rPr>
          <w:rFonts w:ascii="Arial" w:hAnsi="Arial"/>
        </w:rPr>
        <w:t>Venterra</w:t>
      </w:r>
      <w:proofErr w:type="spellEnd"/>
      <w:r>
        <w:rPr>
          <w:rFonts w:ascii="Arial" w:hAnsi="Arial"/>
        </w:rPr>
        <w:t xml:space="preserve"> VR 4, il guide l'outil de manière optimale. Pour des inter-rangs entre 16 cm et 37,5 cm, le parallélogramme EKP peut être équipé d'au maximum 3 socs. Pour des inter-rangs compris entre 12,5 cm et 90 cm, il est possible d'utiliser le parallélogramme KPP comptant jusqu'à 5 socs. Il est réglé en continu sur la profondeur de travail et offre un bon dégagement entre chaque soc. </w:t>
      </w:r>
    </w:p>
    <w:p w14:paraId="0F21F82C" w14:textId="77777777" w:rsidR="00F10E9A" w:rsidRPr="00F10E9A" w:rsidRDefault="00F10E9A" w:rsidP="00F10E9A">
      <w:pPr>
        <w:spacing w:after="120" w:line="360" w:lineRule="auto"/>
        <w:ind w:left="567" w:right="1695"/>
        <w:rPr>
          <w:rFonts w:ascii="Arial" w:eastAsia="Arial" w:hAnsi="Arial" w:cs="Arial"/>
        </w:rPr>
      </w:pPr>
    </w:p>
    <w:p w14:paraId="253A7419"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Pour chaque exigence concernant la culture et la nature du sol, différents types et largeurs de socs sont disponibles, avec une éventuelle utilisation en mixte. Le système breveté de changement rapide </w:t>
      </w:r>
      <w:proofErr w:type="spellStart"/>
      <w:r>
        <w:rPr>
          <w:rFonts w:ascii="Arial" w:hAnsi="Arial"/>
        </w:rPr>
        <w:t>RapidoClip</w:t>
      </w:r>
      <w:proofErr w:type="spellEnd"/>
      <w:r>
        <w:rPr>
          <w:rFonts w:ascii="Arial" w:hAnsi="Arial"/>
        </w:rPr>
        <w:t xml:space="preserve"> permet de changer les </w:t>
      </w:r>
      <w:r>
        <w:rPr>
          <w:rFonts w:ascii="Arial" w:hAnsi="Arial"/>
        </w:rPr>
        <w:lastRenderedPageBreak/>
        <w:t>socs sans outil et en un minimum de temps, que ce soit au champ ou au sein de l'exploitation.</w:t>
      </w:r>
    </w:p>
    <w:p w14:paraId="4E849AD4" w14:textId="77777777" w:rsidR="00F10E9A" w:rsidRPr="00F10E9A" w:rsidRDefault="00F10E9A" w:rsidP="00F10E9A">
      <w:pPr>
        <w:spacing w:after="120" w:line="360" w:lineRule="auto"/>
        <w:ind w:left="567" w:right="1695"/>
        <w:rPr>
          <w:rFonts w:ascii="Arial" w:eastAsia="Arial" w:hAnsi="Arial" w:cs="Arial"/>
        </w:rPr>
      </w:pPr>
    </w:p>
    <w:p w14:paraId="50349640"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 xml:space="preserve">Guidage précis sur la voie </w:t>
      </w:r>
    </w:p>
    <w:p w14:paraId="0C74E9EC" w14:textId="77777777" w:rsidR="00F10E9A" w:rsidRPr="00F10E9A" w:rsidRDefault="00F10E9A" w:rsidP="00F10E9A">
      <w:pPr>
        <w:spacing w:after="120" w:line="360" w:lineRule="auto"/>
        <w:ind w:left="567" w:right="1695"/>
        <w:rPr>
          <w:rFonts w:ascii="Arial" w:eastAsia="Arial" w:hAnsi="Arial" w:cs="Arial"/>
        </w:rPr>
      </w:pPr>
      <w:r>
        <w:rPr>
          <w:rFonts w:ascii="Arial" w:hAnsi="Arial"/>
        </w:rPr>
        <w:t>Travailler sans endommager les rangs de culture nécessite toujours une précision extrême, en particulier avec de grandes largeurs de travail. Le guidage sur le rang, composé de caméras et d'une interface entièrement intégrée, assure un guidage précis le long des rangs de culture. L’interface avec châssis coulissant permet, grâce à une course jusqu'à 60 cm, une adaptation parfaite au rang, même dans les situations difficiles (dévers).</w:t>
      </w:r>
    </w:p>
    <w:p w14:paraId="7C3EBFF3" w14:textId="77777777" w:rsidR="00F10E9A" w:rsidRPr="00F10E9A" w:rsidRDefault="00F10E9A" w:rsidP="00F10E9A">
      <w:pPr>
        <w:spacing w:after="120" w:line="360" w:lineRule="auto"/>
        <w:ind w:left="567" w:right="1695"/>
        <w:rPr>
          <w:rFonts w:ascii="Arial" w:eastAsia="Arial" w:hAnsi="Arial" w:cs="Arial"/>
        </w:rPr>
      </w:pPr>
    </w:p>
    <w:p w14:paraId="0E56B67B"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Avec le système de caméras Horus Professional, la plante cultivée est reconnue de manière fiable en suivant le rang ou, en mode 3D, sur la base des différences de hauteur. De plus, une reconnaissance colorimétrique est possible. Notre système de caméras </w:t>
      </w:r>
      <w:proofErr w:type="spellStart"/>
      <w:r>
        <w:rPr>
          <w:rFonts w:ascii="Arial" w:hAnsi="Arial"/>
        </w:rPr>
        <w:t>SmartVision</w:t>
      </w:r>
      <w:proofErr w:type="spellEnd"/>
      <w:r>
        <w:rPr>
          <w:rFonts w:ascii="Arial" w:hAnsi="Arial"/>
        </w:rPr>
        <w:t xml:space="preserve"> assure, grâce à la correction automatique du devers, un guidage fiable dans les rangs, même en cas de fort </w:t>
      </w:r>
      <w:proofErr w:type="gramStart"/>
      <w:r>
        <w:rPr>
          <w:rFonts w:ascii="Arial" w:hAnsi="Arial"/>
        </w:rPr>
        <w:t>dévers ,</w:t>
      </w:r>
      <w:proofErr w:type="gramEnd"/>
      <w:r>
        <w:rPr>
          <w:rFonts w:ascii="Arial" w:hAnsi="Arial"/>
        </w:rPr>
        <w:t xml:space="preserve"> sans recours à un guidage manuel. Les deux systèmes commandent l’interface en fonction de la vitesse de déplacement. Sur le terminal, le chauffeur contrôle, au moyen de l’image de la caméra, le guidage exact dans les rangs. Pour compléter les caméras, un palpeur de rang est disponible, idéal pour les passages tardifs de bineuse visant à lutter contre les adventices ou lors de l'implantation de cultures dérobées. En cas de mouvements importants des plantes en présence de vent latéral, les palpeurs assurent un guidage précis le long des rangs. </w:t>
      </w:r>
    </w:p>
    <w:p w14:paraId="2FA3410F" w14:textId="77777777" w:rsidR="00F10E9A" w:rsidRPr="00F10E9A" w:rsidRDefault="00F10E9A" w:rsidP="00F10E9A">
      <w:pPr>
        <w:spacing w:after="120" w:line="360" w:lineRule="auto"/>
        <w:ind w:left="567" w:right="1695"/>
        <w:rPr>
          <w:rFonts w:ascii="Arial" w:eastAsia="Arial" w:hAnsi="Arial" w:cs="Arial"/>
        </w:rPr>
      </w:pPr>
    </w:p>
    <w:p w14:paraId="2503B50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 xml:space="preserve">Plusieurs opérations en un passage unique </w:t>
      </w:r>
    </w:p>
    <w:p w14:paraId="1A4428C1"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Venterra</w:t>
      </w:r>
      <w:proofErr w:type="spellEnd"/>
      <w:r>
        <w:rPr>
          <w:rFonts w:ascii="Arial" w:hAnsi="Arial"/>
        </w:rPr>
        <w:t xml:space="preserve"> VR 4 peut être combinée avec différents systèmes d'application AMAZONE, pour apporter au champ des concepts de culture d'avenir. Il est ainsi possible de réduire les coûts de la main-d'œuvre et des intrants, tout en encourageant les méthodes de gestion durable. </w:t>
      </w:r>
    </w:p>
    <w:p w14:paraId="43DC46D6" w14:textId="77777777" w:rsidR="00F10E9A" w:rsidRPr="00F10E9A" w:rsidRDefault="00F10E9A" w:rsidP="00F10E9A">
      <w:pPr>
        <w:spacing w:after="120" w:line="360" w:lineRule="auto"/>
        <w:ind w:left="567" w:right="1695"/>
        <w:rPr>
          <w:rFonts w:ascii="Arial" w:eastAsia="Arial" w:hAnsi="Arial" w:cs="Arial"/>
        </w:rPr>
      </w:pPr>
    </w:p>
    <w:p w14:paraId="74964798" w14:textId="77777777" w:rsidR="00F10E9A" w:rsidRPr="00F10E9A" w:rsidRDefault="00F10E9A" w:rsidP="00F10E9A">
      <w:pPr>
        <w:spacing w:after="120" w:line="360" w:lineRule="auto"/>
        <w:ind w:left="567" w:right="1695"/>
        <w:rPr>
          <w:rFonts w:ascii="Arial" w:eastAsia="Arial" w:hAnsi="Arial" w:cs="Arial"/>
        </w:rPr>
      </w:pPr>
      <w:proofErr w:type="gramStart"/>
      <w:r>
        <w:rPr>
          <w:rFonts w:ascii="Arial" w:hAnsi="Arial"/>
        </w:rPr>
        <w:t>Le combinaison</w:t>
      </w:r>
      <w:proofErr w:type="gramEnd"/>
      <w:r>
        <w:rPr>
          <w:rFonts w:ascii="Arial" w:hAnsi="Arial"/>
        </w:rPr>
        <w:t xml:space="preserve"> de la trémie frontale </w:t>
      </w:r>
      <w:proofErr w:type="spellStart"/>
      <w:r>
        <w:rPr>
          <w:rFonts w:ascii="Arial" w:hAnsi="Arial"/>
        </w:rPr>
        <w:t>FTender</w:t>
      </w:r>
      <w:proofErr w:type="spellEnd"/>
      <w:r>
        <w:rPr>
          <w:rFonts w:ascii="Arial" w:hAnsi="Arial"/>
        </w:rPr>
        <w:t xml:space="preserve"> et d'une tête de distribution sur la bineuse assure une fertilisation performante et efficace pour les cultures. L'application se fait, selon les besoins, de manière ciblée sur chaque rang, entre les rangs ou en surface par le biais de diffuseurs. De plus, ce système convient pour l'implantation de semences, par exemple pour les cultures dérobées. Différents équipements sont disponibles pour l'incorporation.</w:t>
      </w:r>
    </w:p>
    <w:p w14:paraId="444599D7" w14:textId="77777777" w:rsidR="00F10E9A" w:rsidRPr="00F10E9A" w:rsidRDefault="00F10E9A" w:rsidP="00F10E9A">
      <w:pPr>
        <w:spacing w:after="120" w:line="360" w:lineRule="auto"/>
        <w:ind w:left="567" w:right="1695"/>
        <w:rPr>
          <w:rFonts w:ascii="Arial" w:eastAsia="Arial" w:hAnsi="Arial" w:cs="Arial"/>
        </w:rPr>
      </w:pPr>
    </w:p>
    <w:p w14:paraId="3D2B9E1A"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Le dispositif de pulvérisation en bandes </w:t>
      </w:r>
      <w:proofErr w:type="spellStart"/>
      <w:r>
        <w:rPr>
          <w:rFonts w:ascii="Arial" w:hAnsi="Arial"/>
        </w:rPr>
        <w:t>RowSpray</w:t>
      </w:r>
      <w:proofErr w:type="spellEnd"/>
      <w:r>
        <w:rPr>
          <w:rFonts w:ascii="Arial" w:hAnsi="Arial"/>
        </w:rPr>
        <w:t xml:space="preserve"> est utilisé </w:t>
      </w:r>
      <w:proofErr w:type="gramStart"/>
      <w:r>
        <w:rPr>
          <w:rFonts w:ascii="Arial" w:hAnsi="Arial"/>
        </w:rPr>
        <w:t>couplé</w:t>
      </w:r>
      <w:proofErr w:type="gramEnd"/>
      <w:r>
        <w:rPr>
          <w:rFonts w:ascii="Arial" w:hAnsi="Arial"/>
        </w:rPr>
        <w:t xml:space="preserve"> à la cuve frontale FT-P, pour une application ciblée de produits phytopharmaceutiques ou d'engrais liquides. Le produit phytopharmaceutique est appliqué précisément au-dessus de chaque rang de culture, tandis que les socs éliminent mécaniquement les adventices entre les rangs. En option les fonctions hydrauliques de la FT-P et la bineuse peuvent être commandées de manière centralisée par la </w:t>
      </w:r>
      <w:proofErr w:type="spellStart"/>
      <w:r>
        <w:rPr>
          <w:rFonts w:ascii="Arial" w:hAnsi="Arial"/>
        </w:rPr>
        <w:t>Venterra</w:t>
      </w:r>
      <w:proofErr w:type="spellEnd"/>
      <w:r>
        <w:rPr>
          <w:rFonts w:ascii="Arial" w:hAnsi="Arial"/>
        </w:rPr>
        <w:t> VR 4. Une alimentation constante en huile sans variations de pression est ainsi garantie.</w:t>
      </w:r>
    </w:p>
    <w:p w14:paraId="4D5D32D9" w14:textId="77777777" w:rsidR="00F10E9A" w:rsidRPr="00F10E9A" w:rsidRDefault="00F10E9A" w:rsidP="00F10E9A">
      <w:pPr>
        <w:spacing w:after="120" w:line="360" w:lineRule="auto"/>
        <w:ind w:left="567" w:right="1695"/>
        <w:rPr>
          <w:rFonts w:ascii="Arial" w:eastAsia="Arial" w:hAnsi="Arial" w:cs="Arial"/>
        </w:rPr>
      </w:pPr>
    </w:p>
    <w:p w14:paraId="0B747BC9"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Biner jusque dans les moindres recoins grâce au relevage individuel des parallélogrammes guidé par GPS</w:t>
      </w:r>
    </w:p>
    <w:p w14:paraId="0EBD9667"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Grâce au relevage hydraulique individuel commandé par GPS-Switch, un travail de binage précis est possible, même avec de très grandes largeurs de travail. Dans les fourrières et dans les zones en pointe, l'utilisateur est assuré de préserver la culture et de biner proprement jusque dans le moindre recoin. De plus, ce système permet de relever automatiquement les parallélogrammes lors du repliage. Les risques de collisions potentielles des éléments de binage lors du processus de repliage sont ainsi évités et la largeur maximale au transport de 3 m est garantie, même avec de telles largeurs de travail. L'équipement </w:t>
      </w:r>
      <w:proofErr w:type="spellStart"/>
      <w:r>
        <w:rPr>
          <w:rFonts w:ascii="Arial" w:hAnsi="Arial"/>
        </w:rPr>
        <w:t>Load-Sensing</w:t>
      </w:r>
      <w:proofErr w:type="spellEnd"/>
      <w:r>
        <w:rPr>
          <w:rFonts w:ascii="Arial" w:hAnsi="Arial"/>
        </w:rPr>
        <w:t xml:space="preserve"> en option, associé à un accumulateur de pression, réduit la consommation d'huile côté tracteur à un minimum. </w:t>
      </w:r>
    </w:p>
    <w:p w14:paraId="1A3FB2BB" w14:textId="77777777" w:rsidR="00F10E9A" w:rsidRPr="00F10E9A" w:rsidRDefault="00F10E9A" w:rsidP="00F10E9A">
      <w:pPr>
        <w:spacing w:after="120" w:line="360" w:lineRule="auto"/>
        <w:ind w:left="567" w:right="1695"/>
        <w:rPr>
          <w:rFonts w:ascii="Arial" w:eastAsia="Arial" w:hAnsi="Arial" w:cs="Arial"/>
        </w:rPr>
      </w:pPr>
    </w:p>
    <w:p w14:paraId="18B86416" w14:textId="77777777" w:rsidR="00F10E9A" w:rsidRPr="00F10E9A" w:rsidRDefault="00F10E9A" w:rsidP="00F10E9A">
      <w:pPr>
        <w:spacing w:after="120" w:line="360" w:lineRule="auto"/>
        <w:ind w:left="567" w:right="1695"/>
        <w:rPr>
          <w:rFonts w:ascii="Arial" w:eastAsia="Arial" w:hAnsi="Arial" w:cs="Arial"/>
        </w:rPr>
      </w:pPr>
      <w:r>
        <w:rPr>
          <w:rFonts w:ascii="Arial" w:hAnsi="Arial"/>
        </w:rPr>
        <w:lastRenderedPageBreak/>
        <w:t xml:space="preserve">La commande s'effectue via le terminal ISOBUS </w:t>
      </w:r>
      <w:proofErr w:type="spellStart"/>
      <w:r>
        <w:rPr>
          <w:rFonts w:ascii="Arial" w:hAnsi="Arial"/>
        </w:rPr>
        <w:t>AmaTron</w:t>
      </w:r>
      <w:proofErr w:type="spellEnd"/>
      <w:r>
        <w:rPr>
          <w:rFonts w:ascii="Arial" w:hAnsi="Arial"/>
        </w:rPr>
        <w:t> 4 et s’utilise également associée au dispositif de pulvérisation en bandes.</w:t>
      </w:r>
    </w:p>
    <w:p w14:paraId="74E463A6" w14:textId="77777777" w:rsidR="00F10E9A" w:rsidRPr="00F10E9A" w:rsidRDefault="00F10E9A" w:rsidP="00F10E9A">
      <w:pPr>
        <w:spacing w:after="120" w:line="360" w:lineRule="auto"/>
        <w:ind w:left="567" w:right="1695"/>
        <w:rPr>
          <w:rFonts w:ascii="Arial" w:eastAsia="Arial" w:hAnsi="Arial" w:cs="Arial"/>
        </w:rPr>
      </w:pPr>
    </w:p>
    <w:p w14:paraId="78CFD854" w14:textId="77777777" w:rsidR="00F10E9A" w:rsidRPr="00F10E9A" w:rsidRDefault="00F10E9A" w:rsidP="00F10E9A">
      <w:pPr>
        <w:spacing w:after="120" w:line="360" w:lineRule="auto"/>
        <w:ind w:left="567" w:right="1695"/>
        <w:rPr>
          <w:rFonts w:ascii="Arial" w:eastAsia="Arial" w:hAnsi="Arial" w:cs="Arial"/>
        </w:rPr>
      </w:pPr>
      <w:r>
        <w:rPr>
          <w:rFonts w:ascii="Arial" w:hAnsi="Arial"/>
          <w:b/>
        </w:rPr>
        <w:t>Flexibilité</w:t>
      </w:r>
      <w:r>
        <w:rPr>
          <w:rFonts w:ascii="Arial" w:hAnsi="Arial"/>
        </w:rPr>
        <w:t xml:space="preserve"> </w:t>
      </w:r>
    </w:p>
    <w:p w14:paraId="58AB067A"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Venterra</w:t>
      </w:r>
      <w:proofErr w:type="spellEnd"/>
      <w:r>
        <w:rPr>
          <w:rFonts w:ascii="Arial" w:hAnsi="Arial"/>
        </w:rPr>
        <w:t xml:space="preserve"> VR 4 a été conçue pour répondre à une flexibilité maximale. La machine s’adapte donc facilement aux modifications de situations d'exploitation, par exemple en repliant le bras extérieur pour réduire la largeur de travail de 9 m à 6 m. Des outils en option, comme des disques de protection, des buttoirs, des recouvreurs ou des herses à doigts, peuvent être ajoutés à tout moment, ils sont positionnés sur un parallélogramme guidé individuellement, assurant un suivi direct des reliefs du sol, quelles que soient les situations. </w:t>
      </w:r>
    </w:p>
    <w:p w14:paraId="342448D1" w14:textId="77777777" w:rsidR="00F10E9A" w:rsidRPr="00F10E9A" w:rsidRDefault="00F10E9A" w:rsidP="00F10E9A">
      <w:pPr>
        <w:spacing w:after="120" w:line="360" w:lineRule="auto"/>
        <w:ind w:left="567" w:right="1695"/>
        <w:rPr>
          <w:rFonts w:ascii="Arial" w:eastAsia="Arial" w:hAnsi="Arial" w:cs="Arial"/>
        </w:rPr>
      </w:pPr>
    </w:p>
    <w:p w14:paraId="6F0A533D" w14:textId="77777777" w:rsidR="00F10E9A" w:rsidRPr="00F10E9A" w:rsidRDefault="00F10E9A" w:rsidP="00F10E9A">
      <w:pPr>
        <w:spacing w:after="120" w:line="360" w:lineRule="auto"/>
        <w:ind w:left="567" w:right="1695"/>
        <w:rPr>
          <w:rFonts w:ascii="Arial" w:eastAsia="Arial" w:hAnsi="Arial" w:cs="Arial"/>
        </w:rPr>
      </w:pPr>
      <w:r>
        <w:rPr>
          <w:rFonts w:ascii="Arial" w:hAnsi="Arial"/>
        </w:rPr>
        <w:t xml:space="preserve">Régler </w:t>
      </w:r>
      <w:proofErr w:type="spellStart"/>
      <w:r>
        <w:rPr>
          <w:rFonts w:ascii="Arial" w:hAnsi="Arial"/>
        </w:rPr>
        <w:t>soi même</w:t>
      </w:r>
      <w:proofErr w:type="spellEnd"/>
      <w:r>
        <w:rPr>
          <w:rFonts w:ascii="Arial" w:hAnsi="Arial"/>
        </w:rPr>
        <w:t xml:space="preserve"> les inter-rangs devient facile à mettre en œuvre avec la </w:t>
      </w:r>
      <w:proofErr w:type="spellStart"/>
      <w:r>
        <w:rPr>
          <w:rFonts w:ascii="Arial" w:hAnsi="Arial"/>
        </w:rPr>
        <w:t>Venterra</w:t>
      </w:r>
      <w:proofErr w:type="spellEnd"/>
      <w:r>
        <w:rPr>
          <w:rFonts w:ascii="Arial" w:hAnsi="Arial"/>
        </w:rPr>
        <w:t xml:space="preserve"> VR 4. Le châssis de la </w:t>
      </w:r>
      <w:proofErr w:type="spellStart"/>
      <w:r>
        <w:rPr>
          <w:rFonts w:ascii="Arial" w:hAnsi="Arial"/>
        </w:rPr>
        <w:t>Venterra</w:t>
      </w:r>
      <w:proofErr w:type="spellEnd"/>
      <w:r>
        <w:rPr>
          <w:rFonts w:ascii="Arial" w:hAnsi="Arial"/>
        </w:rPr>
        <w:t xml:space="preserve"> est conçu pour répondre à toutes les largeurs de rangs et </w:t>
      </w:r>
      <w:proofErr w:type="spellStart"/>
      <w:r>
        <w:rPr>
          <w:rFonts w:ascii="Arial" w:hAnsi="Arial"/>
        </w:rPr>
        <w:t>celà</w:t>
      </w:r>
      <w:proofErr w:type="spellEnd"/>
      <w:r>
        <w:rPr>
          <w:rFonts w:ascii="Arial" w:hAnsi="Arial"/>
        </w:rPr>
        <w:t xml:space="preserve">, même en montage ultérieur. </w:t>
      </w:r>
    </w:p>
    <w:p w14:paraId="46727DE0" w14:textId="77777777" w:rsidR="00A83D7A" w:rsidRDefault="00A83D7A" w:rsidP="00ED4605">
      <w:pPr>
        <w:spacing w:after="120" w:line="360" w:lineRule="auto"/>
        <w:ind w:left="567" w:right="1695"/>
        <w:rPr>
          <w:rFonts w:ascii="Arial" w:eastAsia="Arial" w:hAnsi="Arial" w:cs="Arial"/>
        </w:rPr>
      </w:pPr>
    </w:p>
    <w:p w14:paraId="21631CC1" w14:textId="77777777" w:rsidR="006676C1" w:rsidRDefault="006676C1" w:rsidP="00ED4605">
      <w:pPr>
        <w:spacing w:after="120" w:line="360" w:lineRule="auto"/>
        <w:ind w:left="567" w:right="1695"/>
        <w:rPr>
          <w:rFonts w:ascii="Arial" w:eastAsia="Arial" w:hAnsi="Arial" w:cs="Arial"/>
        </w:rPr>
      </w:pPr>
    </w:p>
    <w:p w14:paraId="608DB92D" w14:textId="77777777" w:rsidR="00F10E9A" w:rsidRDefault="00F10E9A" w:rsidP="00ED4605">
      <w:pPr>
        <w:spacing w:after="120" w:line="360" w:lineRule="auto"/>
        <w:ind w:left="567" w:right="1695"/>
        <w:rPr>
          <w:rFonts w:ascii="Arial" w:eastAsia="Arial" w:hAnsi="Arial" w:cs="Arial"/>
        </w:rPr>
      </w:pPr>
    </w:p>
    <w:p w14:paraId="526C72CC" w14:textId="65852106" w:rsidR="00710EEA" w:rsidRDefault="00710EEA">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D81A8DC" w14:textId="08D89B7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Résultats de travail ultra précis, même avec une grande largeur de travail jusqu’à 12 m grâce à un système de guidage de série, piloté par caméra avec interface à châssis coulissant VR 4 dont la course maximale est de 60 cm</w:t>
      </w:r>
    </w:p>
    <w:p w14:paraId="5237D75D" w14:textId="208D9D8E"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Parallélogramme avec un dégagement important de 80 cm et course maximale jusqu’à 25 cm avec coupure de tronçons</w:t>
      </w:r>
    </w:p>
    <w:p w14:paraId="434DE3A6" w14:textId="7CBC55B5"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Fonctionnement en repliage partiel pour une flexibilité maximale permettant de s’adapter à la largeur de travail du semoir</w:t>
      </w:r>
    </w:p>
    <w:p w14:paraId="1E23417B" w14:textId="025EEA33"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Roues d’appui sur le châssis pour optimiser la répartition du poids avec interface intégrée pour un centre de gravité proche du tracteur</w:t>
      </w:r>
    </w:p>
    <w:p w14:paraId="6AF032A1" w14:textId="5318DA22" w:rsidR="00F10E9A" w:rsidRPr="00F10E9A" w:rsidRDefault="00F10E9A" w:rsidP="00F10E9A">
      <w:pPr>
        <w:pStyle w:val="Listenabsatz"/>
        <w:numPr>
          <w:ilvl w:val="0"/>
          <w:numId w:val="32"/>
        </w:numPr>
        <w:spacing w:after="120" w:line="360" w:lineRule="auto"/>
        <w:ind w:right="1695"/>
        <w:rPr>
          <w:rFonts w:ascii="Arial" w:eastAsia="Arial" w:hAnsi="Arial" w:cs="Arial"/>
        </w:rPr>
      </w:pPr>
      <w:r>
        <w:rPr>
          <w:rFonts w:ascii="Arial" w:hAnsi="Arial"/>
        </w:rPr>
        <w:t xml:space="preserve">Systèmes d’application, comme la tête de distribution </w:t>
      </w:r>
      <w:proofErr w:type="spellStart"/>
      <w:r>
        <w:rPr>
          <w:rFonts w:ascii="Arial" w:hAnsi="Arial"/>
        </w:rPr>
        <w:t>RowSpread</w:t>
      </w:r>
      <w:proofErr w:type="spellEnd"/>
      <w:r>
        <w:rPr>
          <w:rFonts w:ascii="Arial" w:hAnsi="Arial"/>
        </w:rPr>
        <w:t xml:space="preserve"> avec </w:t>
      </w:r>
      <w:proofErr w:type="spellStart"/>
      <w:r>
        <w:rPr>
          <w:rFonts w:ascii="Arial" w:hAnsi="Arial"/>
        </w:rPr>
        <w:t>FTender</w:t>
      </w:r>
      <w:proofErr w:type="spellEnd"/>
      <w:r>
        <w:rPr>
          <w:rFonts w:ascii="Arial" w:hAnsi="Arial"/>
        </w:rPr>
        <w:t xml:space="preserve"> pour l’application d’engrais ou la pulvérisation en bandes </w:t>
      </w:r>
      <w:proofErr w:type="spellStart"/>
      <w:r>
        <w:rPr>
          <w:rFonts w:ascii="Arial" w:hAnsi="Arial"/>
        </w:rPr>
        <w:t>RowSpray</w:t>
      </w:r>
      <w:proofErr w:type="spellEnd"/>
      <w:r>
        <w:rPr>
          <w:rFonts w:ascii="Arial" w:hAnsi="Arial"/>
        </w:rPr>
        <w:t xml:space="preserve"> avec FT-P 1502</w:t>
      </w:r>
    </w:p>
    <w:p w14:paraId="108F8063" w14:textId="77777777" w:rsidR="00F10E9A" w:rsidRDefault="00F10E9A" w:rsidP="00F10E9A">
      <w:pPr>
        <w:spacing w:after="120" w:line="360" w:lineRule="auto"/>
        <w:ind w:right="1695"/>
        <w:rPr>
          <w:rFonts w:ascii="Arial" w:eastAsia="Arial" w:hAnsi="Arial" w:cs="Arial"/>
        </w:rPr>
      </w:pPr>
    </w:p>
    <w:p w14:paraId="59CBE885" w14:textId="42A2E4E2" w:rsidR="00710EEA" w:rsidRDefault="00710EEA">
      <w:pPr>
        <w:rPr>
          <w:rFonts w:ascii="Arial" w:eastAsia="Arial" w:hAnsi="Arial" w:cs="Arial"/>
        </w:rPr>
      </w:pPr>
      <w:r>
        <w:rPr>
          <w:rFonts w:ascii="Arial" w:eastAsia="Arial" w:hAnsi="Arial" w:cs="Arial"/>
        </w:rPr>
        <w:br w:type="page"/>
      </w:r>
    </w:p>
    <w:p w14:paraId="1B01D270" w14:textId="79D49291"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B07BDD5" wp14:editId="3AE1E756">
            <wp:extent cx="3477600" cy="2880000"/>
            <wp:effectExtent l="0" t="0" r="2540" b="3175"/>
            <wp:docPr id="204267736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677367" name="Grafik 204267736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681C78A" w14:textId="77777777" w:rsidR="00D23C16" w:rsidRPr="00D23C16" w:rsidRDefault="00D23C16" w:rsidP="00D23C16">
      <w:pPr>
        <w:spacing w:after="120" w:line="360" w:lineRule="auto"/>
        <w:ind w:left="567" w:right="1695"/>
        <w:rPr>
          <w:rFonts w:ascii="Arial" w:eastAsia="Arial" w:hAnsi="Arial" w:cs="Arial"/>
        </w:rPr>
      </w:pPr>
      <w:r>
        <w:rPr>
          <w:rFonts w:ascii="Arial" w:hAnsi="Arial"/>
        </w:rPr>
        <w:t xml:space="preserve">Un binage fiable, une flexibilité et des performances exceptionnelles avec la </w:t>
      </w:r>
      <w:proofErr w:type="spellStart"/>
      <w:r>
        <w:rPr>
          <w:rFonts w:ascii="Arial" w:hAnsi="Arial"/>
        </w:rPr>
        <w:t>Venterra</w:t>
      </w:r>
      <w:proofErr w:type="spellEnd"/>
      <w:r>
        <w:rPr>
          <w:rFonts w:ascii="Arial" w:hAnsi="Arial"/>
        </w:rPr>
        <w:t> VR 4 AMAZONE</w:t>
      </w:r>
    </w:p>
    <w:p w14:paraId="2FF2DC0B" w14:textId="77777777" w:rsidR="00D23C16" w:rsidRDefault="00D23C16" w:rsidP="00D23C16">
      <w:pPr>
        <w:spacing w:after="120" w:line="360" w:lineRule="auto"/>
        <w:ind w:left="567" w:right="1695"/>
        <w:rPr>
          <w:rFonts w:ascii="Arial" w:eastAsia="Arial" w:hAnsi="Arial" w:cs="Arial"/>
        </w:rPr>
      </w:pPr>
    </w:p>
    <w:p w14:paraId="279A3634" w14:textId="77777777" w:rsidR="00D23C16" w:rsidRDefault="00D23C16" w:rsidP="00D23C16">
      <w:pPr>
        <w:spacing w:after="120" w:line="360" w:lineRule="auto"/>
        <w:ind w:left="567" w:right="1695"/>
        <w:rPr>
          <w:rFonts w:ascii="Arial" w:eastAsia="Arial" w:hAnsi="Arial" w:cs="Arial"/>
        </w:rPr>
      </w:pPr>
    </w:p>
    <w:p w14:paraId="3BB3EB79" w14:textId="60178CC3"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027FEBC3" wp14:editId="3EFAE9A3">
            <wp:extent cx="1440000" cy="1440000"/>
            <wp:effectExtent l="0" t="0" r="0" b="0"/>
            <wp:docPr id="46178202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82028" name="Grafik 46178202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15098377" w14:textId="77777777" w:rsidR="00D23C16" w:rsidRPr="00D23C16" w:rsidRDefault="00D23C16" w:rsidP="00D23C16">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 xml:space="preserve">www.amazone.net/yt-Venterra-VR4 </w:t>
      </w:r>
    </w:p>
    <w:p w14:paraId="3794E27F" w14:textId="77777777" w:rsidR="00D23C16" w:rsidRDefault="00D23C16" w:rsidP="00D23C16">
      <w:pPr>
        <w:spacing w:after="120" w:line="360" w:lineRule="auto"/>
        <w:ind w:left="567" w:right="1695"/>
        <w:rPr>
          <w:rFonts w:ascii="Arial" w:eastAsia="Arial" w:hAnsi="Arial" w:cs="Arial"/>
        </w:rPr>
      </w:pPr>
    </w:p>
    <w:p w14:paraId="150290EB" w14:textId="77777777" w:rsidR="00D23C16" w:rsidRDefault="00D23C16" w:rsidP="00D23C16">
      <w:pPr>
        <w:spacing w:after="120" w:line="360" w:lineRule="auto"/>
        <w:ind w:left="567" w:right="1695"/>
        <w:rPr>
          <w:rFonts w:ascii="Arial" w:eastAsia="Arial" w:hAnsi="Arial" w:cs="Arial"/>
        </w:rPr>
      </w:pPr>
    </w:p>
    <w:p w14:paraId="6E0B8CD3" w14:textId="1B5908C5"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B23CFE" wp14:editId="3E4D852D">
            <wp:extent cx="4057200" cy="2880000"/>
            <wp:effectExtent l="0" t="0" r="0" b="3175"/>
            <wp:docPr id="143197049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0496" name="Grafik 143197049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FD79A17" w14:textId="77777777" w:rsidR="00D23C16" w:rsidRPr="00D23C16" w:rsidRDefault="00D23C16" w:rsidP="00D23C16">
      <w:pPr>
        <w:spacing w:after="120" w:line="360" w:lineRule="auto"/>
        <w:ind w:left="567" w:right="1695"/>
        <w:rPr>
          <w:rFonts w:ascii="Arial" w:eastAsia="Arial" w:hAnsi="Arial" w:cs="Arial"/>
        </w:rPr>
      </w:pPr>
      <w:r>
        <w:rPr>
          <w:rFonts w:ascii="Arial" w:hAnsi="Arial"/>
        </w:rPr>
        <w:t>L’interface intégrée dans le châssis principal réduit la force de relevage nécessaire ainsi que le poids de la masse à l’avant du tracteur</w:t>
      </w:r>
    </w:p>
    <w:p w14:paraId="034A95D4" w14:textId="77777777" w:rsidR="00D23C16" w:rsidRDefault="00D23C16" w:rsidP="00D23C16">
      <w:pPr>
        <w:spacing w:after="120" w:line="360" w:lineRule="auto"/>
        <w:ind w:left="567" w:right="1695"/>
        <w:rPr>
          <w:rFonts w:ascii="Arial" w:eastAsia="Arial" w:hAnsi="Arial" w:cs="Arial"/>
        </w:rPr>
      </w:pPr>
    </w:p>
    <w:p w14:paraId="19726616" w14:textId="77777777" w:rsidR="00D23C16" w:rsidRDefault="00D23C16" w:rsidP="00D23C16">
      <w:pPr>
        <w:spacing w:after="120" w:line="360" w:lineRule="auto"/>
        <w:ind w:left="567" w:right="1695"/>
        <w:rPr>
          <w:rFonts w:ascii="Arial" w:eastAsia="Arial" w:hAnsi="Arial" w:cs="Arial"/>
        </w:rPr>
      </w:pPr>
    </w:p>
    <w:p w14:paraId="5B2797E9" w14:textId="6B282A1B"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7EE44AB6" wp14:editId="553A72A8">
            <wp:extent cx="4064400" cy="2880000"/>
            <wp:effectExtent l="0" t="0" r="0" b="3175"/>
            <wp:docPr id="61940763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07638" name="Grafik 61940763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0498EB" w14:textId="77777777" w:rsidR="00D23C16" w:rsidRPr="00D23C16" w:rsidRDefault="00D23C16" w:rsidP="00D23C16">
      <w:pPr>
        <w:spacing w:after="120" w:line="360" w:lineRule="auto"/>
        <w:ind w:left="567" w:right="1695"/>
        <w:rPr>
          <w:rFonts w:ascii="Arial" w:eastAsia="Arial" w:hAnsi="Arial" w:cs="Arial"/>
        </w:rPr>
      </w:pPr>
      <w:r>
        <w:rPr>
          <w:rFonts w:ascii="Arial" w:hAnsi="Arial"/>
        </w:rPr>
        <w:t xml:space="preserve">La trémie frontale </w:t>
      </w:r>
      <w:proofErr w:type="spellStart"/>
      <w:r>
        <w:rPr>
          <w:rFonts w:ascii="Arial" w:hAnsi="Arial"/>
        </w:rPr>
        <w:t>FTender</w:t>
      </w:r>
      <w:proofErr w:type="spellEnd"/>
      <w:r>
        <w:rPr>
          <w:rFonts w:ascii="Arial" w:hAnsi="Arial"/>
        </w:rPr>
        <w:t xml:space="preserve"> avec sa capacité de 1 600 l ou 2 200 l permet des performances élevées pour l’application de la semence ou de l’engrais avec la tête de distribution </w:t>
      </w:r>
      <w:proofErr w:type="spellStart"/>
      <w:r>
        <w:rPr>
          <w:rFonts w:ascii="Arial" w:hAnsi="Arial"/>
        </w:rPr>
        <w:t>RowSpread</w:t>
      </w:r>
      <w:proofErr w:type="spellEnd"/>
      <w:r>
        <w:rPr>
          <w:rFonts w:ascii="Arial" w:hAnsi="Arial"/>
        </w:rPr>
        <w:t>.</w:t>
      </w:r>
    </w:p>
    <w:p w14:paraId="228909F7" w14:textId="77777777" w:rsidR="00D23C16" w:rsidRDefault="00D23C16" w:rsidP="00D23C16">
      <w:pPr>
        <w:spacing w:after="120" w:line="360" w:lineRule="auto"/>
        <w:ind w:left="567" w:right="1695"/>
        <w:rPr>
          <w:rFonts w:ascii="Arial" w:eastAsia="Arial" w:hAnsi="Arial" w:cs="Arial"/>
        </w:rPr>
      </w:pPr>
    </w:p>
    <w:p w14:paraId="51F2EAC5" w14:textId="6000F34E" w:rsidR="00D23C16" w:rsidRDefault="00D23C16"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F82E2EF" wp14:editId="4F824FC1">
            <wp:extent cx="4064400" cy="2880000"/>
            <wp:effectExtent l="0" t="0" r="0" b="3175"/>
            <wp:docPr id="171538495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84958" name="Grafik 171538495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946401" w14:textId="77777777" w:rsidR="00D23C16" w:rsidRPr="00D23C16" w:rsidRDefault="00D23C16" w:rsidP="00D23C16">
      <w:pPr>
        <w:spacing w:after="120" w:line="360" w:lineRule="auto"/>
        <w:ind w:left="567" w:right="1695"/>
        <w:rPr>
          <w:rFonts w:ascii="Arial" w:eastAsia="Arial" w:hAnsi="Arial" w:cs="Arial"/>
        </w:rPr>
      </w:pPr>
      <w:r>
        <w:rPr>
          <w:rFonts w:ascii="Arial" w:hAnsi="Arial"/>
        </w:rPr>
        <w:t>La cuve frontale FT-P 1502 de 1 500 l est idéale pour toutes les applications de produits liquides.</w:t>
      </w:r>
    </w:p>
    <w:p w14:paraId="0424EA40" w14:textId="77777777" w:rsidR="00D23C16" w:rsidRDefault="00D23C16" w:rsidP="00D23C16">
      <w:pPr>
        <w:spacing w:after="120" w:line="360" w:lineRule="auto"/>
        <w:ind w:left="567" w:right="1695"/>
        <w:rPr>
          <w:rFonts w:ascii="Arial" w:eastAsia="Arial" w:hAnsi="Arial" w:cs="Arial"/>
        </w:rPr>
      </w:pPr>
    </w:p>
    <w:p w14:paraId="7E42C6B9" w14:textId="6026F1E0" w:rsidR="00D23C16" w:rsidRDefault="00D23C16" w:rsidP="00D23C16">
      <w:pPr>
        <w:spacing w:after="120" w:line="360" w:lineRule="auto"/>
        <w:ind w:left="567" w:right="1695"/>
        <w:rPr>
          <w:rFonts w:ascii="Arial" w:eastAsia="Arial" w:hAnsi="Arial" w:cs="Arial"/>
        </w:rPr>
      </w:pPr>
      <w:r>
        <w:rPr>
          <w:rFonts w:ascii="Arial" w:hAnsi="Arial"/>
          <w:noProof/>
        </w:rPr>
        <w:drawing>
          <wp:inline distT="0" distB="0" distL="0" distR="0" wp14:anchorId="511A09E5" wp14:editId="0AF76249">
            <wp:extent cx="6120000" cy="2620800"/>
            <wp:effectExtent l="0" t="0" r="1905" b="0"/>
            <wp:docPr id="21100120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012039" name="Grafik 21100120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620800"/>
                    </a:xfrm>
                    <a:prstGeom prst="rect">
                      <a:avLst/>
                    </a:prstGeom>
                  </pic:spPr>
                </pic:pic>
              </a:graphicData>
            </a:graphic>
          </wp:inline>
        </w:drawing>
      </w:r>
    </w:p>
    <w:p w14:paraId="283EC424" w14:textId="1313A088" w:rsidR="00D23C16" w:rsidRDefault="00BE76FF" w:rsidP="00D23C16">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3023B66" wp14:editId="56ADAA6A">
            <wp:extent cx="5630400" cy="2880000"/>
            <wp:effectExtent l="0" t="0" r="0" b="3175"/>
            <wp:docPr id="13793047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304796" name="Grafik 137930479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30400" cy="2880000"/>
                    </a:xfrm>
                    <a:prstGeom prst="rect">
                      <a:avLst/>
                    </a:prstGeom>
                  </pic:spPr>
                </pic:pic>
              </a:graphicData>
            </a:graphic>
          </wp:inline>
        </w:drawing>
      </w:r>
    </w:p>
    <w:p w14:paraId="2ABA2A49" w14:textId="77777777" w:rsidR="00BE76FF" w:rsidRPr="00BE76FF" w:rsidRDefault="00BE76FF" w:rsidP="00BE76FF">
      <w:pPr>
        <w:spacing w:after="120" w:line="360" w:lineRule="auto"/>
        <w:ind w:left="567" w:right="1695"/>
        <w:rPr>
          <w:rFonts w:ascii="Arial" w:eastAsia="Arial" w:hAnsi="Arial" w:cs="Arial"/>
        </w:rPr>
      </w:pPr>
      <w:r>
        <w:rPr>
          <w:rFonts w:ascii="Arial" w:hAnsi="Arial"/>
        </w:rPr>
        <w:t xml:space="preserve">En repliant le bras extérieur, la largeur de travail de la </w:t>
      </w:r>
      <w:proofErr w:type="spellStart"/>
      <w:r>
        <w:rPr>
          <w:rFonts w:ascii="Arial" w:hAnsi="Arial"/>
        </w:rPr>
        <w:t>Venterra</w:t>
      </w:r>
      <w:proofErr w:type="spellEnd"/>
      <w:r>
        <w:rPr>
          <w:rFonts w:ascii="Arial" w:hAnsi="Arial"/>
        </w:rPr>
        <w:t> VR 4 passe d’une largeur de travail de 9 m à une largeur de travail de 6 m</w:t>
      </w:r>
    </w:p>
    <w:p w14:paraId="1E19F720" w14:textId="77777777" w:rsidR="00BE76FF" w:rsidRDefault="00BE76FF" w:rsidP="00D23C16">
      <w:pPr>
        <w:spacing w:after="120" w:line="360" w:lineRule="auto"/>
        <w:ind w:left="567" w:right="1695"/>
        <w:rPr>
          <w:rFonts w:ascii="Arial" w:eastAsia="Arial" w:hAnsi="Arial" w:cs="Arial"/>
        </w:rPr>
      </w:pPr>
    </w:p>
    <w:p w14:paraId="065638A2" w14:textId="77777777" w:rsidR="00D23C16" w:rsidRDefault="00D23C16" w:rsidP="00D23C16">
      <w:pPr>
        <w:spacing w:after="120" w:line="360" w:lineRule="auto"/>
        <w:ind w:left="567" w:right="1695"/>
        <w:rPr>
          <w:rFonts w:ascii="Arial" w:eastAsia="Arial" w:hAnsi="Arial" w:cs="Arial"/>
        </w:rPr>
      </w:pPr>
    </w:p>
    <w:p w14:paraId="3DEB92D4" w14:textId="77777777" w:rsidR="00F10E9A" w:rsidRPr="00F4316E" w:rsidRDefault="00F10E9A"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6"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C866B3" w14:textId="77777777" w:rsidR="005D01D7" w:rsidRDefault="005D01D7">
      <w:r>
        <w:separator/>
      </w:r>
    </w:p>
  </w:endnote>
  <w:endnote w:type="continuationSeparator" w:id="0">
    <w:p w14:paraId="5646800B" w14:textId="77777777" w:rsidR="005D01D7" w:rsidRDefault="005D01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FE011" w14:textId="77777777" w:rsidR="005D01D7" w:rsidRDefault="005D01D7">
      <w:r>
        <w:separator/>
      </w:r>
    </w:p>
  </w:footnote>
  <w:footnote w:type="continuationSeparator" w:id="0">
    <w:p w14:paraId="2FB5F9F5" w14:textId="77777777" w:rsidR="005D01D7" w:rsidRDefault="005D01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1"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0"/>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7"/>
  </w:num>
  <w:num w:numId="8" w16cid:durableId="33434184">
    <w:abstractNumId w:val="22"/>
  </w:num>
  <w:num w:numId="9" w16cid:durableId="274018629">
    <w:abstractNumId w:val="25"/>
  </w:num>
  <w:num w:numId="10" w16cid:durableId="1622229493">
    <w:abstractNumId w:val="26"/>
  </w:num>
  <w:num w:numId="11" w16cid:durableId="280575959">
    <w:abstractNumId w:val="23"/>
  </w:num>
  <w:num w:numId="12" w16cid:durableId="169492611">
    <w:abstractNumId w:val="29"/>
  </w:num>
  <w:num w:numId="13" w16cid:durableId="711804392">
    <w:abstractNumId w:val="30"/>
  </w:num>
  <w:num w:numId="14" w16cid:durableId="614945063">
    <w:abstractNumId w:val="4"/>
  </w:num>
  <w:num w:numId="15" w16cid:durableId="787310930">
    <w:abstractNumId w:val="18"/>
  </w:num>
  <w:num w:numId="16" w16cid:durableId="1954821959">
    <w:abstractNumId w:val="21"/>
  </w:num>
  <w:num w:numId="17" w16cid:durableId="1429236192">
    <w:abstractNumId w:val="3"/>
  </w:num>
  <w:num w:numId="18" w16cid:durableId="801196723">
    <w:abstractNumId w:val="31"/>
  </w:num>
  <w:num w:numId="19" w16cid:durableId="595864091">
    <w:abstractNumId w:val="13"/>
  </w:num>
  <w:num w:numId="20" w16cid:durableId="2085832550">
    <w:abstractNumId w:val="24"/>
  </w:num>
  <w:num w:numId="21" w16cid:durableId="1235970655">
    <w:abstractNumId w:val="0"/>
  </w:num>
  <w:num w:numId="22" w16cid:durableId="454446071">
    <w:abstractNumId w:val="12"/>
  </w:num>
  <w:num w:numId="23" w16cid:durableId="1538158893">
    <w:abstractNumId w:val="5"/>
  </w:num>
  <w:num w:numId="24" w16cid:durableId="1042562684">
    <w:abstractNumId w:val="28"/>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8"/>
  </w:num>
  <w:num w:numId="31" w16cid:durableId="1853302710">
    <w:abstractNumId w:val="19"/>
  </w:num>
  <w:num w:numId="32" w16cid:durableId="155230248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6194"/>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6B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1D7"/>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EEA"/>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341"/>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E76FF"/>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3C16"/>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29AB"/>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amazone.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1390</Words>
  <Characters>7478</Characters>
  <Application>Microsoft Office Word</Application>
  <DocSecurity>0</DocSecurity>
  <Lines>62</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8851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2025-08-18T12:08:00Z</dcterms:created>
  <dcterms:modified xsi:type="dcterms:W3CDTF">2025-09-02T07:55:00Z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