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6999AA" w14:textId="77777777" w:rsidR="00C34D4F" w:rsidRPr="00C34D4F" w:rsidRDefault="00C34D4F" w:rsidP="00C34D4F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Эффективность и прецизионность при посеве промежуточных культур</w:t>
      </w:r>
    </w:p>
    <w:p w14:paraId="32BE8728" w14:textId="77777777" w:rsidR="00C34D4F" w:rsidRPr="00C34D4F" w:rsidRDefault="00C34D4F" w:rsidP="00C34D4F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Обзор технических решений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7E85D95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 начала 2000-х годов посев промежуточных культур играет всё более важную роль в земледелии. Благодаря экологизации мер реформы единой сельскохозяйственной системы (ЕАП) эта тема была внедрена в практику и широко исследована. В Германии мы теперь обязаны это делать, особенно в отношении зимних промежуточных культур. Цель состоит в том, чтобы объединить экологические и экономические преимущества – за счёт улучшения структуры почвы, борьбы с эрозией и эффективного использования питательных веществ. Существуют различные технические методы, различающиеся по прецизионности, трудоёмкости и стоимости. Имеется широкий выбор семян: простые и недорогие смеси, например, горчицы и редьки масличной, соответствуют обязанности соблюдения зеленой повестки. Сложные смеси, включающие до 10 различных видов растений, более выгодны, но и значительно дороже.</w:t>
      </w:r>
    </w:p>
    <w:p w14:paraId="6FF0F35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B54B12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У AMAZONE есть надлежащая техника для любого региона и хозяйства. Наша собственная исследовательская программа даёт ценные знания, ведь только при наилучших стартовых условиях каждый вид растения может полностью раскрыть свой потенциал.</w:t>
      </w:r>
    </w:p>
    <w:p w14:paraId="0B0DB700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323D17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Цели возделывания промежуточных культур</w:t>
      </w:r>
    </w:p>
    <w:p w14:paraId="2A5E56C6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Промежуточные культуры выполняют различные функции в растениеводстве:</w:t>
      </w:r>
    </w:p>
    <w:p w14:paraId="0033C559" w14:textId="72EEDB18" w:rsidR="00C34D4F" w:rsidRP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Содействие здоровью и жизни почвы</w:t>
      </w:r>
    </w:p>
    <w:p w14:paraId="5D268B85" w14:textId="750B24BD" w:rsidR="00C34D4F" w:rsidRP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Уменьшение эрозии и повреждений структуры</w:t>
      </w:r>
    </w:p>
    <w:p w14:paraId="2AC36342" w14:textId="443BF3B5" w:rsidR="00C34D4F" w:rsidRP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Уменьшение вымывания питательных веществ</w:t>
      </w:r>
    </w:p>
    <w:p w14:paraId="24C39918" w14:textId="33295313" w:rsidR="00C34D4F" w:rsidRP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Содействие биоразнообразию и ландшафту</w:t>
      </w:r>
    </w:p>
    <w:p w14:paraId="7ED4F772" w14:textId="78E34DE3" w:rsidR="00C34D4F" w:rsidRP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Фиксация и/или высвобождение питательных веществ</w:t>
      </w:r>
    </w:p>
    <w:p w14:paraId="4B25C66D" w14:textId="7AC84D42" w:rsid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Подавление сорняков и борьба с самосевом</w:t>
      </w:r>
    </w:p>
    <w:p w14:paraId="7B093E5B" w14:textId="77777777" w:rsidR="00C34D4F" w:rsidRPr="00C34D4F" w:rsidRDefault="00C34D4F" w:rsidP="00C34D4F">
      <w:pPr>
        <w:pStyle w:val="Listenabsatz"/>
        <w:spacing w:after="120" w:line="360" w:lineRule="auto"/>
        <w:ind w:left="927" w:right="1695"/>
        <w:rPr>
          <w:rFonts w:ascii="Arial" w:eastAsia="Arial" w:hAnsi="Arial" w:cs="Arial"/>
        </w:rPr>
      </w:pPr>
    </w:p>
    <w:p w14:paraId="033A20BD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Требования к посеву промежуточных культур</w:t>
      </w:r>
    </w:p>
    <w:p w14:paraId="68069DAB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Для оптимального выполнения промежуточными культурами своих функций к семенам предъявляются определенные требования:</w:t>
      </w:r>
    </w:p>
    <w:p w14:paraId="60DB8D00" w14:textId="7F56A288" w:rsidR="00C34D4F" w:rsidRPr="00C34D4F" w:rsidRDefault="00C34D4F" w:rsidP="00C34D4F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Равномерное, быстрое появление всходов</w:t>
      </w:r>
    </w:p>
    <w:p w14:paraId="61BD2EB6" w14:textId="2112F19F" w:rsidR="00C34D4F" w:rsidRPr="00C34D4F" w:rsidRDefault="00C34D4F" w:rsidP="00C34D4F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Надежное засыпание почвой для идеального прорастания</w:t>
      </w:r>
    </w:p>
    <w:p w14:paraId="31B5E3AB" w14:textId="33A0100A" w:rsidR="00C34D4F" w:rsidRPr="00C34D4F" w:rsidRDefault="00C34D4F" w:rsidP="00C34D4F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Техника, подходящая для типа почвы и посевной смеси </w:t>
      </w:r>
    </w:p>
    <w:p w14:paraId="29EBF203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Особенно важна адаптация к местным условиям, таким как влажность почвы, остатки культуры-предшественника или имеющаяся техника.</w:t>
      </w:r>
    </w:p>
    <w:p w14:paraId="5BB01D3A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5E267F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Технология посева промежуточных культур</w:t>
      </w:r>
    </w:p>
    <w:p w14:paraId="4CF7833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Техническое выполнение посева промежуточных культур имеет решающее значение для успеха. Независимо от выбранной системы посева, существуют различные методы, различающиеся по прецизионности, эффективности и адаптивности. Выбор правильной системы — ключевой аспект успешного возделывания промежуточных культур.</w:t>
      </w:r>
    </w:p>
    <w:p w14:paraId="4E72C8B3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8A5970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Предуборочный посев с помощью навесного распределителя ZA-TS</w:t>
      </w:r>
    </w:p>
    <w:p w14:paraId="6A95F26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Простым вариантом является посев с помощью распределительной техники, при котором семена распределяются по всей поверхности посредством распределителя удобрений или дрона. Этот метод экономически эффективен и быстр, но для успешного прорастания требуются влажные погодные условия. Данная технология, как правило, практикуется в стоящих посадках или в условиях дефицита времени. Этот метод применим только к культурам с лучшей всхожестью на свету. </w:t>
      </w:r>
    </w:p>
    <w:p w14:paraId="15825083" w14:textId="7FA71F34" w:rsidR="00E76DEA" w:rsidRDefault="00E76DEA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4357704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lastRenderedPageBreak/>
        <w:t>Посев с обработкой почвы: GreenDrill на Catros или Cenius</w:t>
      </w:r>
    </w:p>
    <w:p w14:paraId="0C7C3B74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Совместный посев, при котором семена высеваются одновременно с обработкой стерни или обработкой почвы, например, культиватором или дисковой бороной, более эффективен. Одновременная заделка обеспечивает более оптимальный контакт с почвой, что улучшает условия прорастания. Такой тип комбинированного посева легко интегрируется в существующие рабочие процессы.</w:t>
      </w:r>
    </w:p>
    <w:p w14:paraId="15017FD3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5917B58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Посев механической насадной сеялкой Cataya или пневматической насадной сеялкой Centaya</w:t>
      </w:r>
    </w:p>
    <w:p w14:paraId="6935D9ED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Посев сеялкой обеспечивает повышение прецизионности и равномерности. Для этого используется посевная комбинация, которая заделывает семена на точную и равномерную глубину. Этот метод обычно сочетается с предварительной обработкой стерни. В результате получаются равномерные всходы. Данный метод особенно распространен на практике при использовании высококачественных смесей семян или возделывании чувствительных к погодным условиям культур. </w:t>
      </w:r>
    </w:p>
    <w:p w14:paraId="51F635C8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7A2DF1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Посев с использованием многосекционных систем: Прицепная посевная комбинация Cirrus</w:t>
      </w:r>
    </w:p>
    <w:p w14:paraId="03417329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Современные сеялки с многосекционной системой позволяют раздельно дозировать различные семена. Можно избежать разделения, особенно при сильном разбросе размеров семян. Комбинация различных бункеров с разным расположением точек подачи позволяет увеличить всхожесть различных компонентов семян. Это позволяет учитывать специфические потребности отдельных видов растений и контролировать их размещение в почве. Примером может служить Cirrus с опцией Triple-Shoot.</w:t>
      </w:r>
    </w:p>
    <w:p w14:paraId="00EBA212" w14:textId="5BBA9989" w:rsidR="00E76DEA" w:rsidRDefault="00E76DEA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6AB54C87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lastRenderedPageBreak/>
        <w:t>Прямой посев: Прицепная сеялка Condor, высокопроизводительная сеялка Primera DMC</w:t>
      </w:r>
    </w:p>
    <w:p w14:paraId="4845CC86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Прямой посев полностью исключает обработку почвы. Семена высеваются непосредственно в стерню или остатки соломы культуры-предшественника. Данная технология предъявляет самые высокие требования к посевной технике, но обладает преимуществами с точки зрения устойчивости почвы, борьбы с эрозией и управления водными ресурсами. Благодаря исключению обработки почвы прямой посев экономит время, что обеспечивает более быстрое и конкурентоспособное выращивание культур. Прямой посев может быть лучшим методом, особенно в засушливых условиях или на участках, подверженных эрозии.</w:t>
      </w:r>
    </w:p>
    <w:p w14:paraId="38C41695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5A32D2A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Прямой посев увеличивает риск распространения корневых сорняков и падалицы. Этот так называемый «зелёный мост» может переносить болезни в севообороте и должен учитываться при его планировании. С помощью прицепной сеялки Condor или высокопроизводительной сеялки Primera DMC возможен эффективный и безопасный прямой посев в стерню. Технология посева с использованием зубчатого или долотовидного сошника удаляет остатки соломы и обеспечивает равномерное укоренение семян. Для сеялок с долотовидными сошниками доступны различные системы бункеров.</w:t>
      </w:r>
    </w:p>
    <w:p w14:paraId="700898B2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4D6C8D9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Комбинированный объёмный и точный посев с 4 точками подачи </w:t>
      </w:r>
    </w:p>
    <w:p w14:paraId="0EE3DAC4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Структурированный и оптимизированный посев специальной сеялкой точного высева Precea, оборудованной для контролируемого рядового земледелия, идёт ещё дальше. С 2024 года она находится в эксплуатации в качестве прототипа. Сеялка точного высева с междурядьем 50 см оснащена тремя дополнительными высевающими аппаратами, что позволяет использовать её в самых разных комбинациях. Междурядье этой машины соответствует концепции CRF (Controlled Row Farming): при </w:t>
      </w:r>
      <w:r>
        <w:rPr>
          <w:rFonts w:ascii="Arial" w:hAnsi="Arial"/>
        </w:rPr>
        <w:lastRenderedPageBreak/>
        <w:t>междурядье 50 см каждая культура находит идеальное пространство для роста.</w:t>
      </w:r>
    </w:p>
    <w:p w14:paraId="564C51F1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F061F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Каждый компонент посевной смеси можно разместить идеально, что обеспечивает оптимальную всхожесть. На примере смеси промежуточных культур возможны следующие варианты:</w:t>
      </w:r>
    </w:p>
    <w:p w14:paraId="48EC2623" w14:textId="398F1349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Крупнозерные бобовые на 6–10 см в качестве объемного посевного материала через туковый сошник</w:t>
      </w:r>
    </w:p>
    <w:p w14:paraId="267FF6E4" w14:textId="4F9D50F5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Широко стоящие, разреженные культуры, например, методом одиночного посева с очень точной укладкой на 1–8 см</w:t>
      </w:r>
    </w:p>
    <w:p w14:paraId="162F4B11" w14:textId="776B99D4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Различные посевные материалы с обычными требованиями, объемный посев через сошники RoTeC на глубину 1 – 6 см</w:t>
      </w:r>
    </w:p>
    <w:p w14:paraId="2F5F9488" w14:textId="00A83872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Световсхожие семена, например, белый клевер, разбрасываются по поверхности с помощью разбрасывателя для микрогранулята </w:t>
      </w:r>
    </w:p>
    <w:p w14:paraId="00D1F895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3A1112" w14:textId="77777777" w:rsid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Были проведены интенсивные полевые испытания, чтобы продемонстрировать важность прецизионной и специфичной для данной культуры глубины заделки. На следующей диаграмме показано, насколько можно повысить всхожесть за счет прецизионной заделки. Результаты демонстрируют огромный потенциал этого метода: Дорогие семена дают значительно более высокую всхожесть при идеальной заделке.</w:t>
      </w:r>
    </w:p>
    <w:p w14:paraId="302C5C4D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ADA812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Идеальный смешанный посев с помощью CRF-Precea</w:t>
      </w:r>
    </w:p>
    <w:p w14:paraId="1915994A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Комбинация объемного посева и точного посева открывает новые интересные агрономические возможности. Здесь стоит упомянуть такие темы, как органическая полосовая обработка почвы, и особенно смешанное возделывание: В органическом земледелии широко распространено смешанное возделывание бобовых и злаковых культур. Бобовые обогащают почву азотом благодаря клубеньковым бактериям, а злаковые обеспечивают устойчивость и структуру посева. В зависимости </w:t>
      </w:r>
      <w:r>
        <w:rPr>
          <w:rFonts w:ascii="Arial" w:hAnsi="Arial"/>
        </w:rPr>
        <w:lastRenderedPageBreak/>
        <w:t>от погоды та или иная культура может иметь преимущество. Скошенная смесь идеально подходит в качестве богатого белком корма; возможно также последующее разделение.</w:t>
      </w:r>
    </w:p>
    <w:p w14:paraId="6CA66679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B631CF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CRF-Precea обеспечивает раздельное дозирование обеих основных культур, их размещение в соответствии с культурой и, прежде всего, разделение бобовых. Это создает четкую структуру рядов, что позволяет целенаправленно и с учетом особенностей культуры обрабатывать посевы. Использование штригеля на энергично и равномерно развитых культурах более ц елесообразнои продуктивно.</w:t>
      </w:r>
    </w:p>
    <w:p w14:paraId="56A1A3CC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159B89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Благодаря быстрому и максимальному появлению всходов, свет, вода и питательные вещества используются оптимально, а сорняки успешно подавляются. Конкуренция между культурами минимизируется, а синергия усиливается. </w:t>
      </w:r>
    </w:p>
    <w:p w14:paraId="61FC82C0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30F17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Сравнение технологий</w:t>
      </w:r>
    </w:p>
    <w:p w14:paraId="03AD3E47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 оценке обобщены сильные и слабые стороны представленных технологий. Их следует рассматривать с учетом специфики участка и условий конкретного хозяйства. Максимальная гибкость обеспечивает преимущества для различных севооборотов и изменяющихся погодных условий.</w:t>
      </w:r>
    </w:p>
    <w:p w14:paraId="283AD28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AC643B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Выводы и рекомендации</w:t>
      </w:r>
    </w:p>
    <w:p w14:paraId="378E12B0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Посев промежуточных культур является важным компонентом устойчивого сельского хозяйства. Выбор подходящего технического метода зависит от:</w:t>
      </w:r>
    </w:p>
    <w:p w14:paraId="606FA8F3" w14:textId="39DD3FE9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Цель промежуточной культуры, например, связывание азота, защита почвы</w:t>
      </w:r>
    </w:p>
    <w:p w14:paraId="36B16944" w14:textId="2C79BDF8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Условия на участке и влажность почвы</w:t>
      </w:r>
    </w:p>
    <w:p w14:paraId="4F201A43" w14:textId="455542B8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Время посева и доступная техника</w:t>
      </w:r>
    </w:p>
    <w:p w14:paraId="1D9C5DE6" w14:textId="774E2C2E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Тип и смесь семян</w:t>
      </w:r>
    </w:p>
    <w:p w14:paraId="12CB0711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DAC7BC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Как инновационный производитель сельскохозяйственной техники, мы активно поддерживаем технологический прогресс, поскольку убеждены, что современное сельское хозяйство может быть устойчиво успешным только благодаря индивидуальным решениям. Техника должна подбираться индивидуально в соответствии с используемым оборудованием и целями возделывания для достижения максимальной эффективности и ресурсосбережения. Инновационные системы, такие как структурированный посев, приобретают все большее значение благодаря использованию сложных смесей промежуточных культур и растительных сообществ, поскольку разнообразие растительных сообществ открывает экологические и агрономические возможности для современного, устойчивого растениеводства. С помощью наших технологий мы помогаем фермерам раскрыть данный потенциал – для продуктивного и устойчивого сельского хозяйства.</w:t>
      </w:r>
    </w:p>
    <w:p w14:paraId="0C2530BB" w14:textId="742BF5DA" w:rsidR="00DD65FD" w:rsidRDefault="00DD65FD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48B26" w14:textId="79E34EE0" w:rsidR="00C34D4F" w:rsidRPr="00444D63" w:rsidRDefault="00C34D4F" w:rsidP="00444D63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>максимальная всхожесть – благодаря точной и подходящей для культуры глубине укладки</w:t>
      </w:r>
      <w:r>
        <w:rPr>
          <w:rFonts w:ascii="Arial" w:hAnsi="Arial"/>
        </w:rPr>
        <w:br/>
        <w:t>- Получить больше от каждого семени</w:t>
      </w:r>
    </w:p>
    <w:p w14:paraId="793AF12A" w14:textId="1B907FB5" w:rsidR="00C34D4F" w:rsidRPr="00444D63" w:rsidRDefault="00C34D4F" w:rsidP="00444D63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>универсальная техника для меняющихся условий – одна машина, много возможностей</w:t>
      </w:r>
      <w:r>
        <w:rPr>
          <w:rFonts w:ascii="Arial" w:hAnsi="Arial"/>
        </w:rPr>
        <w:br/>
        <w:t>- Сегодня промежуточная культура, завтра – основная культура</w:t>
      </w:r>
    </w:p>
    <w:p w14:paraId="5C6EE04B" w14:textId="75806251" w:rsidR="00F4316E" w:rsidRPr="00444D63" w:rsidRDefault="00C34D4F" w:rsidP="00444D63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Устойчивость через разнообразие – техника для биоразнообразия в земледелии</w:t>
      </w:r>
      <w:r>
        <w:rPr>
          <w:rFonts w:ascii="Arial" w:hAnsi="Arial"/>
        </w:rPr>
        <w:br/>
        <w:t>- Сейте разнообразие, пожинайте будущее – устойчивое земледелие начинается с правильной техники</w:t>
      </w:r>
    </w:p>
    <w:p w14:paraId="25E71232" w14:textId="77777777" w:rsidR="00D34808" w:rsidRDefault="00D3480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720FC6D" w14:textId="77777777" w:rsidR="0039244D" w:rsidRDefault="0039244D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7FA5ED" w14:textId="0CA3E07C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5E7ABAC" wp14:editId="4F734A04">
            <wp:extent cx="3477600" cy="2880000"/>
            <wp:effectExtent l="0" t="0" r="2540" b="3175"/>
            <wp:docPr id="187767237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672374" name="Grafik 187767237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74CCE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Прицепная компактная дисковая борона AMAZONE Catros+ с насадной сеялкой GreenDrill</w:t>
      </w:r>
    </w:p>
    <w:p w14:paraId="7F64E3D1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4CB204" w14:textId="7FD0EE1B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D4B87B5" wp14:editId="41E37E5B">
            <wp:extent cx="4064400" cy="2880000"/>
            <wp:effectExtent l="0" t="0" r="0" b="3175"/>
            <wp:docPr id="233503796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503796" name="Grafik 23350379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BD584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Навесной распределитель AMAZONE ZA-TS</w:t>
      </w:r>
    </w:p>
    <w:p w14:paraId="6AE2D81E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BAAAD4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480D01" w14:textId="013FEA1E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C05416A" wp14:editId="60E164C3">
            <wp:extent cx="4064400" cy="2880000"/>
            <wp:effectExtent l="0" t="0" r="0" b="3175"/>
            <wp:docPr id="11774260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42604" name="Grafik 11774260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40E3F" w14:textId="58FDDBEF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DEB55EA" wp14:editId="4E63AC9A">
            <wp:extent cx="4064400" cy="2880000"/>
            <wp:effectExtent l="0" t="0" r="0" b="3175"/>
            <wp:docPr id="6338937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89379" name="Grafik 6338937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D5F07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Насадные сеялки AMAZONE Centaya (слева) и Cataya (справа) в сочетании с техникой для активной обработки почвы</w:t>
      </w:r>
    </w:p>
    <w:p w14:paraId="7974DE07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D375AA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ADDE19" w14:textId="5D8C94E8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5397CF1" wp14:editId="514E92D4">
            <wp:extent cx="6120000" cy="2790000"/>
            <wp:effectExtent l="0" t="0" r="1905" b="4445"/>
            <wp:docPr id="100816785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167855" name="Grafik 100816785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7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BE2EF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Концепция бункера и распределителя на прицепной посевной комбинации Cirrus с системой Triple-Shoot</w:t>
      </w:r>
    </w:p>
    <w:p w14:paraId="48897F9A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914190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66D4A6" w14:textId="2D122699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C5F798D" wp14:editId="7AD8269F">
            <wp:extent cx="4064400" cy="2880000"/>
            <wp:effectExtent l="0" t="0" r="0" b="3175"/>
            <wp:docPr id="1874710743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710743" name="Grafik 187471074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D2F27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Primera DMC — высокопроизводительная сеялка для прямого посева</w:t>
      </w:r>
    </w:p>
    <w:p w14:paraId="06C7020C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042C4F8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F86F04" w14:textId="239D2919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F3E717C" wp14:editId="6D1C899C">
            <wp:extent cx="4064400" cy="2880000"/>
            <wp:effectExtent l="0" t="0" r="0" b="3175"/>
            <wp:docPr id="736836157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836157" name="Grafik 73683615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DDA98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Precea 6000-FCC (для CRF) — сеялка точного высева с междурядьем 12 x 50 см и фронтальным бункером FTender 2200</w:t>
      </w:r>
    </w:p>
    <w:p w14:paraId="01852657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006A9D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DDFEA8" w14:textId="6041946B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EE7A6B6" wp14:editId="740B35D1">
            <wp:extent cx="4064400" cy="2880000"/>
            <wp:effectExtent l="0" t="0" r="0" b="3175"/>
            <wp:docPr id="1579361011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361011" name="Grafik 15793610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2EBC9" w14:textId="0A204186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27E769E" wp14:editId="007DC56A">
            <wp:extent cx="4064400" cy="2880000"/>
            <wp:effectExtent l="0" t="0" r="0" b="3175"/>
            <wp:docPr id="1481461751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461751" name="Grafik 148146175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0139D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Преимущество в росте на 2 недели при прямом посеве</w:t>
      </w:r>
    </w:p>
    <w:p w14:paraId="45AB968E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5BB70A9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3384715" w14:textId="19E26906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DE3C5ED" wp14:editId="79E27A61">
            <wp:extent cx="4064400" cy="2880000"/>
            <wp:effectExtent l="0" t="0" r="0" b="3175"/>
            <wp:docPr id="356288566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288566" name="Grafik 35628856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D2842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Концепция бункера и распределителя на Precea для Controlled Row Farming (CRF) с четырёхрядной системой посева</w:t>
      </w:r>
    </w:p>
    <w:p w14:paraId="728CC5BB" w14:textId="548623AF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1.</w:t>
      </w:r>
      <w:r>
        <w:rPr>
          <w:rFonts w:ascii="Arial" w:hAnsi="Arial"/>
        </w:rPr>
        <w:t xml:space="preserve"> Распределительная головка 1 (туковый сошник)</w:t>
      </w:r>
    </w:p>
    <w:p w14:paraId="1D8A9CC2" w14:textId="7F1FAF46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2.</w:t>
      </w:r>
      <w:r>
        <w:rPr>
          <w:rFonts w:ascii="Arial" w:hAnsi="Arial"/>
        </w:rPr>
        <w:t xml:space="preserve"> Распределительная головка 2 (система совместного посева)</w:t>
      </w:r>
    </w:p>
    <w:p w14:paraId="69AC81AF" w14:textId="3AEEF0D2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3.</w:t>
      </w:r>
      <w:r>
        <w:rPr>
          <w:rFonts w:ascii="Arial" w:hAnsi="Arial"/>
        </w:rPr>
        <w:t xml:space="preserve"> Точка подачи 1 (разделение)</w:t>
      </w:r>
    </w:p>
    <w:p w14:paraId="19F81428" w14:textId="30FA86B9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4.</w:t>
      </w:r>
      <w:r>
        <w:rPr>
          <w:rFonts w:ascii="Arial" w:hAnsi="Arial"/>
        </w:rPr>
        <w:t xml:space="preserve"> Точка подачи 2 (туковый сошник)</w:t>
      </w:r>
    </w:p>
    <w:p w14:paraId="5D2A067D" w14:textId="278A425D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5.</w:t>
      </w:r>
      <w:r>
        <w:rPr>
          <w:rFonts w:ascii="Arial" w:hAnsi="Arial"/>
        </w:rPr>
        <w:t xml:space="preserve"> Точка подачи 3 (система совместного посева)</w:t>
      </w:r>
    </w:p>
    <w:p w14:paraId="064BFD55" w14:textId="5FFD63D4" w:rsid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6.</w:t>
      </w:r>
      <w:r>
        <w:rPr>
          <w:rFonts w:ascii="Arial" w:hAnsi="Arial"/>
        </w:rPr>
        <w:t xml:space="preserve"> Точка подачи 4 (MGS)</w:t>
      </w:r>
    </w:p>
    <w:p w14:paraId="321DF5A3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BE7E78" w14:textId="2DC47FC1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665CF66" wp14:editId="53E62351">
            <wp:extent cx="4064000" cy="1837185"/>
            <wp:effectExtent l="0" t="0" r="0" b="0"/>
            <wp:docPr id="1660968626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968626" name="Grafik 2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" r="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1837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197E2F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Влияние глубины заделки семян в зависимости от культуры на относительную всхожесть </w:t>
      </w:r>
    </w:p>
    <w:p w14:paraId="728284B9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34DAA1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9F1042A" w14:textId="352B59C8" w:rsid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77E975B" wp14:editId="50AF4B3F">
            <wp:extent cx="4064400" cy="2880000"/>
            <wp:effectExtent l="0" t="0" r="0" b="3175"/>
            <wp:docPr id="225439169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439169" name="Grafik 22543916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8F08F" w14:textId="17C2B9B3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45AB98F" wp14:editId="0862C86A">
            <wp:extent cx="4064400" cy="2880000"/>
            <wp:effectExtent l="0" t="0" r="0" b="3175"/>
            <wp:docPr id="1883828763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828763" name="Grafik 188382876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FA5BE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Смешанный посев озимых бобов и озимой пшеницы с помощью CRF-Precea</w:t>
      </w:r>
    </w:p>
    <w:p w14:paraId="41E78E10" w14:textId="2FF8D249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7A81122" wp14:editId="037D44B0">
            <wp:extent cx="5999600" cy="2880000"/>
            <wp:effectExtent l="0" t="0" r="1270" b="0"/>
            <wp:docPr id="1274632428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632428" name="Grafik 2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9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C3567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Оценка различных технологий для посева промежуточных культур</w:t>
      </w:r>
    </w:p>
    <w:p w14:paraId="25A60213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D84745F" w14:textId="77777777" w:rsidR="007805AF" w:rsidRPr="00F4316E" w:rsidRDefault="007805AF" w:rsidP="00C34D4F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006C5662" w14:textId="77777777" w:rsidR="00B34DF8" w:rsidRPr="00E12CE4" w:rsidRDefault="00B34DF8" w:rsidP="00B34DF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r>
        <w:fldChar w:fldCharType="begin"/>
      </w:r>
      <w:r>
        <w:instrText>HYPERLINK "http://www.amazone.net/ru"</w:instrText>
      </w:r>
      <w:r>
        <w:fldChar w:fldCharType="separate"/>
      </w:r>
      <w:r w:rsidRPr="00006CD6">
        <w:rPr>
          <w:rStyle w:val="Hyperlink"/>
          <w:rFonts w:ascii="Arial" w:hAnsi="Arial"/>
          <w:sz w:val="20"/>
        </w:rPr>
        <w:t>www.amazone.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net</w:t>
      </w:r>
      <w:proofErr w:type="spellEnd"/>
      <w:r w:rsidRPr="00006CD6">
        <w:rPr>
          <w:rStyle w:val="Hyperlink"/>
          <w:rFonts w:ascii="Arial" w:hAnsi="Arial"/>
          <w:sz w:val="20"/>
          <w:lang w:val="de-DE"/>
        </w:rPr>
        <w:t>/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ru</w:t>
      </w:r>
      <w:proofErr w:type="spellEnd"/>
      <w:r>
        <w:fldChar w:fldCharType="end"/>
      </w:r>
    </w:p>
    <w:p w14:paraId="252D2E94" w14:textId="181019FF" w:rsidR="00A46482" w:rsidRPr="00B34DF8" w:rsidRDefault="00B34DF8" w:rsidP="00B34DF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de-DE"/>
        </w:rPr>
      </w:pPr>
      <w:r>
        <w:rPr>
          <w:noProof/>
          <w:color w:val="0563C1"/>
        </w:rPr>
        <w:drawing>
          <wp:inline distT="0" distB="0" distL="0" distR="0" wp14:anchorId="7CBE6AE7" wp14:editId="40D44CB1">
            <wp:extent cx="241300" cy="241300"/>
            <wp:effectExtent l="0" t="0" r="6350" b="6350"/>
            <wp:docPr id="13" name="Grafik 13" descr="Ein Bild, das Symbol enthält.&#10;&#10;KI-generierte Inhalte können fehlerhaft sein.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A979FF0" wp14:editId="2B8EFD57">
            <wp:extent cx="241300" cy="241300"/>
            <wp:effectExtent l="0" t="0" r="6350" b="6350"/>
            <wp:docPr id="12" name="Grafik 12" descr="Ein Bild, das Kreis, Design enthält.&#10;&#10;KI-generierte Inhalte können fehlerhaft sein.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833FC48" wp14:editId="2799C0AF">
            <wp:extent cx="241300" cy="241300"/>
            <wp:effectExtent l="0" t="0" r="6350" b="6350"/>
            <wp:docPr id="11" name="Grafik 11" descr="Ein Bild, das Kreis, Design enthält.&#10;&#10;KI-generierte Inhalte können fehlerhaft sein.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C1CECB1" wp14:editId="5081B764">
            <wp:extent cx="241300" cy="241300"/>
            <wp:effectExtent l="0" t="0" r="6350" b="6350"/>
            <wp:docPr id="10" name="Grafik 10" descr="Ein Bild, das Symbol, Kreis enthält.&#10;&#10;KI-generierte Inhalte können fehlerhaft sein.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673CAA5" wp14:editId="1B654B8D">
            <wp:extent cx="241300" cy="241300"/>
            <wp:effectExtent l="0" t="0" r="6350" b="6350"/>
            <wp:docPr id="7" name="Grafik 7" descr="Ein Bild, das Text, Symbol, Design enthält.&#10;&#10;KI-generierte Inhalte können fehlerhaft sein.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B34DF8" w:rsidSect="007D56A1">
      <w:headerReference w:type="default" r:id="rId38"/>
      <w:footerReference w:type="default" r:id="rId39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9374BE" w14:textId="77777777" w:rsidR="00416C13" w:rsidRDefault="00416C13">
      <w:r>
        <w:separator/>
      </w:r>
    </w:p>
  </w:endnote>
  <w:endnote w:type="continuationSeparator" w:id="0">
    <w:p w14:paraId="18514A48" w14:textId="77777777" w:rsidR="00416C13" w:rsidRDefault="00416C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altName w:val="Courier New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www.amazone.net/ru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www.amazone.net/ru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0599C7" w14:textId="77777777" w:rsidR="00416C13" w:rsidRDefault="00416C13">
      <w:r>
        <w:separator/>
      </w:r>
    </w:p>
  </w:footnote>
  <w:footnote w:type="continuationSeparator" w:id="0">
    <w:p w14:paraId="6AA4E25E" w14:textId="77777777" w:rsidR="00416C13" w:rsidRDefault="00416C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0BC3E60"/>
    <w:multiLevelType w:val="hybridMultilevel"/>
    <w:tmpl w:val="72361B8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4A06DD9"/>
    <w:multiLevelType w:val="hybridMultilevel"/>
    <w:tmpl w:val="FCF00726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AB54FA3"/>
    <w:multiLevelType w:val="hybridMultilevel"/>
    <w:tmpl w:val="D494D4F2"/>
    <w:lvl w:ilvl="0" w:tplc="1DFCADF0">
      <w:numFmt w:val="bullet"/>
      <w:lvlText w:val="•"/>
      <w:lvlJc w:val="left"/>
      <w:pPr>
        <w:ind w:left="200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1EB126E6"/>
    <w:multiLevelType w:val="hybridMultilevel"/>
    <w:tmpl w:val="DACEC56E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2235F4D"/>
    <w:multiLevelType w:val="hybridMultilevel"/>
    <w:tmpl w:val="A492EFD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8DB22FB"/>
    <w:multiLevelType w:val="hybridMultilevel"/>
    <w:tmpl w:val="437AFB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85F471F"/>
    <w:multiLevelType w:val="hybridMultilevel"/>
    <w:tmpl w:val="E492359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53A146A"/>
    <w:multiLevelType w:val="hybridMultilevel"/>
    <w:tmpl w:val="7FA8E48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4BB93AB0"/>
    <w:multiLevelType w:val="hybridMultilevel"/>
    <w:tmpl w:val="81CE3B3C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6C473ED"/>
    <w:multiLevelType w:val="hybridMultilevel"/>
    <w:tmpl w:val="34F610B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8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9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6CEE2666"/>
    <w:multiLevelType w:val="hybridMultilevel"/>
    <w:tmpl w:val="949CB6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7B717C59"/>
    <w:multiLevelType w:val="hybridMultilevel"/>
    <w:tmpl w:val="A97A4340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2" w15:restartNumberingAfterBreak="0">
    <w:nsid w:val="7DB67905"/>
    <w:multiLevelType w:val="hybridMultilevel"/>
    <w:tmpl w:val="CAC6C926"/>
    <w:lvl w:ilvl="0" w:tplc="64B87E98">
      <w:start w:val="10"/>
      <w:numFmt w:val="bullet"/>
      <w:lvlText w:val="•"/>
      <w:lvlJc w:val="left"/>
      <w:pPr>
        <w:ind w:left="213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num w:numId="1" w16cid:durableId="556358491">
    <w:abstractNumId w:val="12"/>
  </w:num>
  <w:num w:numId="2" w16cid:durableId="1510219160">
    <w:abstractNumId w:val="1"/>
  </w:num>
  <w:num w:numId="3" w16cid:durableId="613364659">
    <w:abstractNumId w:val="6"/>
  </w:num>
  <w:num w:numId="4" w16cid:durableId="1043675452">
    <w:abstractNumId w:val="9"/>
  </w:num>
  <w:num w:numId="5" w16cid:durableId="2011105495">
    <w:abstractNumId w:val="4"/>
  </w:num>
  <w:num w:numId="6" w16cid:durableId="494960578">
    <w:abstractNumId w:val="0"/>
  </w:num>
  <w:num w:numId="7" w16cid:durableId="2097939876">
    <w:abstractNumId w:val="19"/>
  </w:num>
  <w:num w:numId="8" w16cid:durableId="33434184">
    <w:abstractNumId w:val="13"/>
  </w:num>
  <w:num w:numId="9" w16cid:durableId="274018629">
    <w:abstractNumId w:val="17"/>
  </w:num>
  <w:num w:numId="10" w16cid:durableId="1622229493">
    <w:abstractNumId w:val="18"/>
  </w:num>
  <w:num w:numId="11" w16cid:durableId="1404913225">
    <w:abstractNumId w:val="3"/>
  </w:num>
  <w:num w:numId="12" w16cid:durableId="252512578">
    <w:abstractNumId w:val="21"/>
  </w:num>
  <w:num w:numId="13" w16cid:durableId="394284392">
    <w:abstractNumId w:val="15"/>
  </w:num>
  <w:num w:numId="14" w16cid:durableId="968242214">
    <w:abstractNumId w:val="22"/>
  </w:num>
  <w:num w:numId="15" w16cid:durableId="470682998">
    <w:abstractNumId w:val="2"/>
  </w:num>
  <w:num w:numId="16" w16cid:durableId="196890851">
    <w:abstractNumId w:val="8"/>
  </w:num>
  <w:num w:numId="17" w16cid:durableId="336082040">
    <w:abstractNumId w:val="7"/>
  </w:num>
  <w:num w:numId="18" w16cid:durableId="765348670">
    <w:abstractNumId w:val="16"/>
  </w:num>
  <w:num w:numId="19" w16cid:durableId="1439987712">
    <w:abstractNumId w:val="20"/>
  </w:num>
  <w:num w:numId="20" w16cid:durableId="2029216073">
    <w:abstractNumId w:val="11"/>
  </w:num>
  <w:num w:numId="21" w16cid:durableId="980234844">
    <w:abstractNumId w:val="10"/>
  </w:num>
  <w:num w:numId="22" w16cid:durableId="1573656178">
    <w:abstractNumId w:val="14"/>
  </w:num>
  <w:num w:numId="23" w16cid:durableId="60484527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42E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B17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244D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6C13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4D63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533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33A5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2AB0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5AF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423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383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640F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38E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DF8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4D4F"/>
    <w:rsid w:val="00C36C13"/>
    <w:rsid w:val="00C372C7"/>
    <w:rsid w:val="00C37BD5"/>
    <w:rsid w:val="00C42AC0"/>
    <w:rsid w:val="00C42BE8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4AD"/>
    <w:rsid w:val="00C61E9A"/>
    <w:rsid w:val="00C62ECB"/>
    <w:rsid w:val="00C64A9E"/>
    <w:rsid w:val="00C656ED"/>
    <w:rsid w:val="00C668B4"/>
    <w:rsid w:val="00C7076D"/>
    <w:rsid w:val="00C712F0"/>
    <w:rsid w:val="00C72C05"/>
    <w:rsid w:val="00C74DBC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C55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5FD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6DEA"/>
    <w:rsid w:val="00E772C7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instagram.com/amazone_group" TargetMode="External"/><Relationship Id="rId39" Type="http://schemas.openxmlformats.org/officeDocument/2006/relationships/footer" Target="footer1.xml"/><Relationship Id="rId21" Type="http://schemas.openxmlformats.org/officeDocument/2006/relationships/image" Target="media/image14.jpeg"/><Relationship Id="rId34" Type="http://schemas.openxmlformats.org/officeDocument/2006/relationships/image" Target="cid:LinkedIn_80de4e9c-c7a3-41e3-8e11-063f7eace13d.jpg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www.youtube.com/user/amazonede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hyperlink" Target="https://www.linkedin.com/company/amazone-group/" TargetMode="External"/><Relationship Id="rId37" Type="http://schemas.openxmlformats.org/officeDocument/2006/relationships/image" Target="cid:Xing1_e3730686-2953-47a9-9c47-dbaa518a9207.jpg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facebook.com/amazone.group" TargetMode="External"/><Relationship Id="rId28" Type="http://schemas.openxmlformats.org/officeDocument/2006/relationships/image" Target="cid:IG_efb650a7-31e4-4674-98db-f2d2d5c58dce.jpg" TargetMode="External"/><Relationship Id="rId36" Type="http://schemas.openxmlformats.org/officeDocument/2006/relationships/image" Target="media/image20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7.jpeg"/><Relationship Id="rId30" Type="http://schemas.openxmlformats.org/officeDocument/2006/relationships/image" Target="media/image18.jpeg"/><Relationship Id="rId35" Type="http://schemas.openxmlformats.org/officeDocument/2006/relationships/hyperlink" Target="https://www.xing.com/company/amazone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cid:FB_70d43fd1-a841-4de4-bbaa-3e1f495f95d3.jpg" TargetMode="External"/><Relationship Id="rId33" Type="http://schemas.openxmlformats.org/officeDocument/2006/relationships/image" Target="media/image19.jpeg"/><Relationship Id="rId3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1700</Words>
  <Characters>10715</Characters>
  <Application>Microsoft Office Word</Application>
  <DocSecurity>0</DocSecurity>
  <Lines>89</Lines>
  <Paragraphs>24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12391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2025-08-18T12:41:00Z</dcterms:created>
  <dcterms:modified xsi:type="dcterms:W3CDTF">2025-08-29T14:37:00Z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