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F0B20" w14:textId="77777777" w:rsidR="00815FA8" w:rsidRPr="00815FA8" w:rsidRDefault="00815FA8" w:rsidP="00815FA8">
      <w:pPr>
        <w:spacing w:line="360" w:lineRule="auto"/>
        <w:ind w:left="567" w:right="1695"/>
        <w:rPr>
          <w:rFonts w:ascii="Arial" w:hAnsi="Arial" w:cs="Arial"/>
          <w:b/>
          <w:bCs/>
          <w:sz w:val="28"/>
          <w:szCs w:val="28"/>
        </w:rPr>
      </w:pPr>
      <w:r>
        <w:rPr>
          <w:rFonts w:ascii="Arial" w:hAnsi="Arial"/>
          <w:b/>
          <w:sz w:val="28"/>
        </w:rPr>
        <w:t xml:space="preserve">Détecteur d’adventices pour une application ciblée dans les prairies </w:t>
      </w:r>
    </w:p>
    <w:p w14:paraId="77523A59" w14:textId="77777777" w:rsidR="00070765" w:rsidRDefault="00070765" w:rsidP="00330541">
      <w:pPr>
        <w:spacing w:line="360" w:lineRule="auto"/>
        <w:ind w:left="567" w:right="1695"/>
        <w:rPr>
          <w:rFonts w:ascii="Arial" w:hAnsi="Arial" w:cs="Arial"/>
        </w:rPr>
      </w:pPr>
    </w:p>
    <w:p w14:paraId="6ACC3549"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Lutte efficace contre les rumex dans les prairies lors de la récolte du fourrage, en utilisant une reconnaissance des plantes basée sur l'IA</w:t>
      </w:r>
    </w:p>
    <w:p w14:paraId="37252EA7" w14:textId="77777777" w:rsidR="00815FA8" w:rsidRPr="00815FA8" w:rsidRDefault="00815FA8" w:rsidP="00815FA8">
      <w:pPr>
        <w:spacing w:after="120" w:line="360" w:lineRule="auto"/>
        <w:ind w:left="567" w:right="1695"/>
        <w:rPr>
          <w:rFonts w:ascii="Arial" w:eastAsia="Arial" w:hAnsi="Arial" w:cs="Arial"/>
        </w:rPr>
      </w:pPr>
      <w:r>
        <w:rPr>
          <w:rFonts w:ascii="Arial" w:hAnsi="Arial"/>
        </w:rPr>
        <w:t>Lutter contre les plantes nuisibles que sont les rumex dans les prairies est une mesure essentielle pour obtenir une qualité optimale du fourrage. L’alternative aux mesures indirectes ou mécaniques est un traitement chimique, interdit sous forme de pulvérisation en plein depuis 2022 dans certaines régions. Un traitement ciblé, ponctuel par procédé d'application localisée ou par pulvérisation ciblée est réalisable. Il existe actuellement quelques appareils de pulvérisation localisée qui détectent les rumex durant le passage et appliquent directement le produit. Ces appareils spéciaux sont onéreux et contrairement aux pulvérisateurs courants, leur champ d'application est nettement restreint. En effet, seule une faible largeur de travail est couverte, le temps nécessaire à l’application est donc considérablement augmenté, car il faut parcourir l’intégralité de la parcelle.</w:t>
      </w:r>
    </w:p>
    <w:p w14:paraId="287B7D2F" w14:textId="77777777" w:rsidR="00815FA8" w:rsidRPr="00815FA8" w:rsidRDefault="00815FA8" w:rsidP="00815FA8">
      <w:pPr>
        <w:spacing w:after="120" w:line="360" w:lineRule="auto"/>
        <w:ind w:left="567" w:right="1695"/>
        <w:rPr>
          <w:rFonts w:ascii="Arial" w:eastAsia="Arial" w:hAnsi="Arial" w:cs="Arial"/>
        </w:rPr>
      </w:pPr>
    </w:p>
    <w:p w14:paraId="247E369D"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Détecter de façon ciblée et évaluer agronomiquement</w:t>
      </w:r>
      <w:r>
        <w:rPr>
          <w:rFonts w:ascii="Arial" w:hAnsi="Arial"/>
        </w:rPr>
        <w:t xml:space="preserve"> </w:t>
      </w:r>
    </w:p>
    <w:p w14:paraId="1901E3E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Une nouvelle approche de la lutte contre les rumex en deux passages résout les défis posés par les procédés utilisés jusqu'à présent. Avec le détecteur d’adventices </w:t>
      </w:r>
      <w:proofErr w:type="spellStart"/>
      <w:r>
        <w:rPr>
          <w:rFonts w:ascii="Arial" w:hAnsi="Arial"/>
        </w:rPr>
        <w:t>Weed</w:t>
      </w:r>
      <w:proofErr w:type="spellEnd"/>
      <w:r>
        <w:rPr>
          <w:rFonts w:ascii="Arial" w:hAnsi="Arial"/>
        </w:rPr>
        <w:t xml:space="preserve"> Detector, CLAAS a conçu pour ses faucheuses un système qui détecte les rumex par caméras, pendant la fauche. Un système de caméras montées sur la base fixe de la tête d’attelage de la faucheuse frontale scanne de manière fiable toute la largeur de travail. Un logiciel utilisant l'IA analyse les images et crée une carte d’infestation. Les données de plusieurs passages de coupe peuvent être prises en compte.</w:t>
      </w:r>
    </w:p>
    <w:p w14:paraId="7890D79A" w14:textId="77777777" w:rsidR="00815FA8" w:rsidRPr="00815FA8" w:rsidRDefault="00815FA8" w:rsidP="00815FA8">
      <w:pPr>
        <w:spacing w:after="120" w:line="360" w:lineRule="auto"/>
        <w:ind w:left="567" w:right="1695"/>
        <w:rPr>
          <w:rFonts w:ascii="Arial" w:eastAsia="Arial" w:hAnsi="Arial" w:cs="Arial"/>
        </w:rPr>
      </w:pPr>
    </w:p>
    <w:p w14:paraId="67AC221C"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Avant la transmission au pulvérisateur, l’agriculteur peut réaliser une évaluation agronomique avec les surfaces susceptibles d'être traitées. Le traitement est effectué selon les bonnes pratiques environnementales, après la fauche afin </w:t>
      </w:r>
      <w:r>
        <w:rPr>
          <w:rFonts w:ascii="Arial" w:hAnsi="Arial"/>
        </w:rPr>
        <w:lastRenderedPageBreak/>
        <w:t xml:space="preserve">que les rumex puissent reconstituer une masse foliaire. La masse foliaire représente la surface correspondant à l'application du produit. En fonction des informations disponibles pour la parcelle et de son historique, une zone de sécurité agronomique est définie dans CLAAS </w:t>
      </w:r>
      <w:proofErr w:type="spellStart"/>
      <w:r>
        <w:rPr>
          <w:rFonts w:ascii="Arial" w:hAnsi="Arial"/>
        </w:rPr>
        <w:t>connect</w:t>
      </w:r>
      <w:proofErr w:type="spellEnd"/>
      <w:r>
        <w:rPr>
          <w:rFonts w:ascii="Arial" w:hAnsi="Arial"/>
        </w:rPr>
        <w:t xml:space="preserve"> </w:t>
      </w:r>
      <w:proofErr w:type="spellStart"/>
      <w:r>
        <w:rPr>
          <w:rFonts w:ascii="Arial" w:hAnsi="Arial"/>
        </w:rPr>
        <w:t>Farm</w:t>
      </w:r>
      <w:proofErr w:type="spellEnd"/>
      <w:r>
        <w:rPr>
          <w:rFonts w:ascii="Arial" w:hAnsi="Arial"/>
        </w:rPr>
        <w:t xml:space="preserve"> Management, zone de 50 cm par exemple autour des points déterminés. L'étape de la pulvérisation n’est pas immédiate après le fauchage car il faut attendre quelques jours que les rumex repoussent suffisamment pour réaliser l’application.</w:t>
      </w:r>
    </w:p>
    <w:p w14:paraId="51A56D0E" w14:textId="77777777" w:rsidR="00815FA8" w:rsidRPr="00815FA8" w:rsidRDefault="00815FA8" w:rsidP="00815FA8">
      <w:pPr>
        <w:spacing w:after="120" w:line="360" w:lineRule="auto"/>
        <w:ind w:left="567" w:right="1695"/>
        <w:rPr>
          <w:rFonts w:ascii="Arial" w:eastAsia="Arial" w:hAnsi="Arial" w:cs="Arial"/>
        </w:rPr>
      </w:pPr>
    </w:p>
    <w:p w14:paraId="5255869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La carte avec les zones agronomiques cibles est transmise à la plateforme de données sur le cloud </w:t>
      </w:r>
      <w:proofErr w:type="spellStart"/>
      <w:r>
        <w:rPr>
          <w:rFonts w:ascii="Arial" w:hAnsi="Arial"/>
        </w:rPr>
        <w:t>AmaConnect</w:t>
      </w:r>
      <w:proofErr w:type="spellEnd"/>
      <w:r>
        <w:rPr>
          <w:rFonts w:ascii="Arial" w:hAnsi="Arial"/>
        </w:rPr>
        <w:t xml:space="preserve">. La carte d'application est alors créée en fonction de la technologie du pulvérisateur. Cette carte avec les zones cibles, agronomiques et techniques permet un calcul précis du volume de bouillie nécessaire pour chaque parcelle. </w:t>
      </w:r>
    </w:p>
    <w:p w14:paraId="3619BDF4" w14:textId="77777777" w:rsidR="00815FA8" w:rsidRPr="00815FA8" w:rsidRDefault="00815FA8" w:rsidP="00815FA8">
      <w:pPr>
        <w:spacing w:after="120" w:line="360" w:lineRule="auto"/>
        <w:ind w:left="567" w:right="1695"/>
        <w:rPr>
          <w:rFonts w:ascii="Arial" w:eastAsia="Arial" w:hAnsi="Arial" w:cs="Arial"/>
        </w:rPr>
      </w:pPr>
    </w:p>
    <w:p w14:paraId="149904B9" w14:textId="77777777" w:rsidR="00815FA8" w:rsidRPr="00815FA8" w:rsidRDefault="00815FA8" w:rsidP="00815FA8">
      <w:pPr>
        <w:spacing w:after="120" w:line="360" w:lineRule="auto"/>
        <w:ind w:left="567" w:right="1695"/>
        <w:rPr>
          <w:rFonts w:ascii="Arial" w:eastAsia="Arial" w:hAnsi="Arial" w:cs="Arial"/>
          <w:b/>
          <w:bCs/>
        </w:rPr>
      </w:pPr>
      <w:r>
        <w:rPr>
          <w:rFonts w:ascii="Arial" w:hAnsi="Arial"/>
          <w:b/>
        </w:rPr>
        <w:t xml:space="preserve">Application ciblée précise avec </w:t>
      </w:r>
      <w:proofErr w:type="spellStart"/>
      <w:r>
        <w:rPr>
          <w:rFonts w:ascii="Arial" w:hAnsi="Arial"/>
          <w:b/>
        </w:rPr>
        <w:t>AmaXact</w:t>
      </w:r>
      <w:proofErr w:type="spellEnd"/>
      <w:r>
        <w:rPr>
          <w:rFonts w:ascii="Arial" w:hAnsi="Arial"/>
          <w:b/>
        </w:rPr>
        <w:t xml:space="preserve"> AMAZONE </w:t>
      </w:r>
    </w:p>
    <w:p w14:paraId="4D56E0D5"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Le potentiel d’économie de la pulvérisation localisée dépend du taux d’infestation, mais aussi fortement de la taille des tronçons sur le pulvérisateur. Plus les tronçons sont petits, plus les économies réalisées sont importantes. C’est pourquoi la technique d’application AMAZONE avec coupure buse à buse, et donc des tronçons de 50 cm, est idéale pour cette utilisation. Tout comme le porte-jets </w:t>
      </w:r>
      <w:proofErr w:type="spellStart"/>
      <w:r>
        <w:rPr>
          <w:rFonts w:ascii="Arial" w:hAnsi="Arial"/>
        </w:rPr>
        <w:t>AmaSelect</w:t>
      </w:r>
      <w:proofErr w:type="spellEnd"/>
      <w:r>
        <w:rPr>
          <w:rFonts w:ascii="Arial" w:hAnsi="Arial"/>
        </w:rPr>
        <w:t xml:space="preserve"> éprouvé depuis des années par AMAZONE, le nouveau porte-jets </w:t>
      </w:r>
      <w:proofErr w:type="spellStart"/>
      <w:r>
        <w:rPr>
          <w:rFonts w:ascii="Arial" w:hAnsi="Arial"/>
        </w:rPr>
        <w:t>AmaXact</w:t>
      </w:r>
      <w:proofErr w:type="spellEnd"/>
      <w:r>
        <w:rPr>
          <w:rFonts w:ascii="Arial" w:hAnsi="Arial"/>
        </w:rPr>
        <w:t xml:space="preserve"> est conçu pour la lutte contre les rumex. L’agriculteur peut ainsi utiliser les technologies existantes tout en restant à la pointe de l'innovation. </w:t>
      </w:r>
    </w:p>
    <w:p w14:paraId="18FC2AFD" w14:textId="77777777" w:rsidR="00815FA8" w:rsidRPr="00815FA8" w:rsidRDefault="00815FA8" w:rsidP="00815FA8">
      <w:pPr>
        <w:spacing w:after="120" w:line="360" w:lineRule="auto"/>
        <w:ind w:left="567" w:right="1695"/>
        <w:rPr>
          <w:rFonts w:ascii="Arial" w:eastAsia="Arial" w:hAnsi="Arial" w:cs="Arial"/>
        </w:rPr>
      </w:pPr>
    </w:p>
    <w:p w14:paraId="1D09FD0F"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Grâce à sa conception robuste, conçue pour des cycles de coupure fréquents, le porte-jets </w:t>
      </w:r>
      <w:proofErr w:type="spellStart"/>
      <w:r>
        <w:rPr>
          <w:rFonts w:ascii="Arial" w:hAnsi="Arial"/>
        </w:rPr>
        <w:t>AmaXact</w:t>
      </w:r>
      <w:proofErr w:type="spellEnd"/>
      <w:r>
        <w:rPr>
          <w:rFonts w:ascii="Arial" w:hAnsi="Arial"/>
        </w:rPr>
        <w:t xml:space="preserve"> avec modulation de fréquence de largeur d'impulsion (PWFM) est idéal pour la pulvérisation localisée. Grâce aux durées de commutation courtes, idéales pour la pulvérisation localisée, la zone ciblée peut encore être réduite avec le système </w:t>
      </w:r>
      <w:proofErr w:type="spellStart"/>
      <w:r>
        <w:rPr>
          <w:rFonts w:ascii="Arial" w:hAnsi="Arial"/>
        </w:rPr>
        <w:t>AmaXact</w:t>
      </w:r>
      <w:proofErr w:type="spellEnd"/>
      <w:r>
        <w:rPr>
          <w:rFonts w:ascii="Arial" w:hAnsi="Arial"/>
        </w:rPr>
        <w:t xml:space="preserve">. L’économie de produits </w:t>
      </w:r>
      <w:r>
        <w:rPr>
          <w:rFonts w:ascii="Arial" w:hAnsi="Arial"/>
        </w:rPr>
        <w:lastRenderedPageBreak/>
        <w:t>phytosanitaires est supérieure, le volume de bouillie nécessaire plus limité. La protection des cultures devient durable.</w:t>
      </w:r>
    </w:p>
    <w:p w14:paraId="233DF76D" w14:textId="77777777" w:rsidR="00815FA8" w:rsidRPr="00815FA8" w:rsidRDefault="00815FA8" w:rsidP="00815FA8">
      <w:pPr>
        <w:spacing w:after="120" w:line="360" w:lineRule="auto"/>
        <w:ind w:left="567" w:right="1695"/>
        <w:rPr>
          <w:rFonts w:ascii="Arial" w:eastAsia="Arial" w:hAnsi="Arial" w:cs="Arial"/>
        </w:rPr>
      </w:pPr>
    </w:p>
    <w:p w14:paraId="1B49D54F"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Transfert des données par communication Cloud-to-Cloud</w:t>
      </w:r>
    </w:p>
    <w:p w14:paraId="7A8900D3"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Afin de rendre la gestion des données claire et conviviale, le transfert de la carte d'application ciblée s'effectue intégralement sans fil. La faucheuse envoie les données par téléphonie mobile à CLAAS </w:t>
      </w:r>
      <w:proofErr w:type="spellStart"/>
      <w:r>
        <w:rPr>
          <w:rFonts w:ascii="Arial" w:hAnsi="Arial"/>
        </w:rPr>
        <w:t>connect</w:t>
      </w:r>
      <w:proofErr w:type="spellEnd"/>
      <w:r>
        <w:rPr>
          <w:rFonts w:ascii="Arial" w:hAnsi="Arial"/>
        </w:rPr>
        <w:t xml:space="preserve"> </w:t>
      </w:r>
      <w:proofErr w:type="spellStart"/>
      <w:r>
        <w:rPr>
          <w:rFonts w:ascii="Arial" w:hAnsi="Arial"/>
        </w:rPr>
        <w:t>Farm</w:t>
      </w:r>
      <w:proofErr w:type="spellEnd"/>
      <w:r>
        <w:rPr>
          <w:rFonts w:ascii="Arial" w:hAnsi="Arial"/>
        </w:rPr>
        <w:t xml:space="preserve"> Management. La carte est ensuite transférée par la communication Cloud-to-Cloud à la plateforme </w:t>
      </w:r>
      <w:proofErr w:type="spellStart"/>
      <w:r>
        <w:rPr>
          <w:rFonts w:ascii="Arial" w:hAnsi="Arial"/>
        </w:rPr>
        <w:t>AmaConnect</w:t>
      </w:r>
      <w:proofErr w:type="spellEnd"/>
      <w:r>
        <w:rPr>
          <w:rFonts w:ascii="Arial" w:hAnsi="Arial"/>
        </w:rPr>
        <w:t xml:space="preserve"> AMAZONE. En fonction de la technique d’application, </w:t>
      </w:r>
      <w:proofErr w:type="spellStart"/>
      <w:r>
        <w:rPr>
          <w:rFonts w:ascii="Arial" w:hAnsi="Arial"/>
        </w:rPr>
        <w:t>AmaConnect</w:t>
      </w:r>
      <w:proofErr w:type="spellEnd"/>
      <w:r>
        <w:rPr>
          <w:rFonts w:ascii="Arial" w:hAnsi="Arial"/>
        </w:rPr>
        <w:t xml:space="preserve"> optimise automatiquement la carte de modulation reçue. Ainsi, le traitement efficace des rumex est garanti dans la pratique. L’utilisateur reçoit la surface totale des zones cibles afin de pouvoir préparer le volume de bouillie adapté. </w:t>
      </w:r>
    </w:p>
    <w:p w14:paraId="74F1A9A4" w14:textId="77777777" w:rsidR="00815FA8" w:rsidRPr="00815FA8" w:rsidRDefault="00815FA8" w:rsidP="00815FA8">
      <w:pPr>
        <w:spacing w:after="120" w:line="360" w:lineRule="auto"/>
        <w:ind w:left="567" w:right="1695"/>
        <w:rPr>
          <w:rFonts w:ascii="Arial" w:eastAsia="Arial" w:hAnsi="Arial" w:cs="Arial"/>
        </w:rPr>
      </w:pPr>
    </w:p>
    <w:p w14:paraId="7605F6AE" w14:textId="77777777" w:rsidR="00815FA8" w:rsidRPr="00815FA8" w:rsidRDefault="00815FA8" w:rsidP="00815FA8">
      <w:pPr>
        <w:spacing w:after="120" w:line="360" w:lineRule="auto"/>
        <w:ind w:left="567" w:right="1695"/>
        <w:rPr>
          <w:rFonts w:ascii="Arial" w:eastAsia="Arial" w:hAnsi="Arial" w:cs="Arial"/>
        </w:rPr>
      </w:pPr>
      <w:r>
        <w:rPr>
          <w:rFonts w:ascii="Arial" w:hAnsi="Arial"/>
        </w:rPr>
        <w:t>La carte d'application ciblée est envoyée à l’</w:t>
      </w:r>
      <w:proofErr w:type="spellStart"/>
      <w:r>
        <w:rPr>
          <w:rFonts w:ascii="Arial" w:hAnsi="Arial"/>
        </w:rPr>
        <w:t>AmaTron</w:t>
      </w:r>
      <w:proofErr w:type="spellEnd"/>
      <w:r>
        <w:rPr>
          <w:rFonts w:ascii="Arial" w:hAnsi="Arial"/>
        </w:rPr>
        <w:t xml:space="preserve"> 4 avant d’appliquer le produit, par le biais de l’appli </w:t>
      </w:r>
      <w:proofErr w:type="spellStart"/>
      <w:r>
        <w:rPr>
          <w:rFonts w:ascii="Arial" w:hAnsi="Arial"/>
        </w:rPr>
        <w:t>AmaTron</w:t>
      </w:r>
      <w:proofErr w:type="spellEnd"/>
      <w:r>
        <w:rPr>
          <w:rFonts w:ascii="Arial" w:hAnsi="Arial"/>
        </w:rPr>
        <w:t xml:space="preserve"> Share ou à l’avenir directement par le Cloud, via </w:t>
      </w:r>
      <w:proofErr w:type="spellStart"/>
      <w:r>
        <w:rPr>
          <w:rFonts w:ascii="Arial" w:hAnsi="Arial"/>
        </w:rPr>
        <w:t>AmaConnect</w:t>
      </w:r>
      <w:proofErr w:type="spellEnd"/>
      <w:r>
        <w:rPr>
          <w:rFonts w:ascii="Arial" w:hAnsi="Arial"/>
        </w:rPr>
        <w:t xml:space="preserve">. Une application ciblée, réalisée par le pulvérisateur, peut alors intervenir au moment agronomique optimal. </w:t>
      </w:r>
    </w:p>
    <w:p w14:paraId="5DD56606" w14:textId="77777777" w:rsidR="00815FA8" w:rsidRPr="00815FA8" w:rsidRDefault="00815FA8" w:rsidP="00815FA8">
      <w:pPr>
        <w:spacing w:after="120" w:line="360" w:lineRule="auto"/>
        <w:ind w:left="567" w:right="1695"/>
        <w:rPr>
          <w:rFonts w:ascii="Arial" w:eastAsia="Arial" w:hAnsi="Arial" w:cs="Arial"/>
        </w:rPr>
      </w:pPr>
    </w:p>
    <w:p w14:paraId="5EB7D4E9" w14:textId="77777777" w:rsidR="00815FA8" w:rsidRPr="00815FA8" w:rsidRDefault="00815FA8" w:rsidP="00815FA8">
      <w:pPr>
        <w:spacing w:after="120" w:line="360" w:lineRule="auto"/>
        <w:ind w:left="567" w:right="1695"/>
        <w:rPr>
          <w:rFonts w:ascii="Arial" w:eastAsia="Arial" w:hAnsi="Arial" w:cs="Arial"/>
        </w:rPr>
      </w:pPr>
      <w:r>
        <w:rPr>
          <w:rFonts w:ascii="Arial" w:hAnsi="Arial"/>
          <w:b/>
        </w:rPr>
        <w:t xml:space="preserve">Avantages particuliers du procédé avec </w:t>
      </w:r>
      <w:proofErr w:type="spellStart"/>
      <w:r>
        <w:rPr>
          <w:rFonts w:ascii="Arial" w:hAnsi="Arial"/>
          <w:b/>
        </w:rPr>
        <w:t>AmaXact</w:t>
      </w:r>
      <w:proofErr w:type="spellEnd"/>
      <w:r>
        <w:rPr>
          <w:rFonts w:ascii="Arial" w:hAnsi="Arial"/>
          <w:b/>
        </w:rPr>
        <w:t xml:space="preserve"> et le détecteur d’adventices </w:t>
      </w:r>
    </w:p>
    <w:p w14:paraId="4D6FDB9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Le système de détecteur d’adventices économise des volumes importants de produits phytosanitaires, sans avoir à investir dans une technique d’application spécifique. Les performances par rapport aux outils dédiés à la pulvérisation localisée sont nettement supérieures, en raison des largeurs de travail plus importantes. </w:t>
      </w:r>
    </w:p>
    <w:p w14:paraId="57480DBD" w14:textId="77777777" w:rsidR="00815FA8" w:rsidRPr="00815FA8" w:rsidRDefault="00815FA8" w:rsidP="00815FA8">
      <w:pPr>
        <w:spacing w:after="120" w:line="360" w:lineRule="auto"/>
        <w:ind w:left="567" w:right="1695"/>
        <w:rPr>
          <w:rFonts w:ascii="Arial" w:eastAsia="Arial" w:hAnsi="Arial" w:cs="Arial"/>
        </w:rPr>
      </w:pPr>
    </w:p>
    <w:p w14:paraId="0243FC5B"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Par rapport au survol de la parcelle avec un drone pour détecter les rumex, le système offre l’avantage de réaliser la cartographie durant le fauchage, donc sans nécessité d'un passage supplémentaire. Par ailleurs, la technique peut </w:t>
      </w:r>
      <w:r>
        <w:rPr>
          <w:rFonts w:ascii="Arial" w:hAnsi="Arial"/>
        </w:rPr>
        <w:lastRenderedPageBreak/>
        <w:t xml:space="preserve">être utilisée quelles que soient les conditions : Dans la pratique, le survol d’un drone est souvent impossible en cas de vent, si le terrain est fortement vallonné ou en cas d’obstacles, tels que les lignes électriques. </w:t>
      </w:r>
    </w:p>
    <w:p w14:paraId="0534E9BB" w14:textId="77777777" w:rsidR="00815FA8" w:rsidRPr="00815FA8" w:rsidRDefault="00815FA8" w:rsidP="00815FA8">
      <w:pPr>
        <w:spacing w:after="120" w:line="360" w:lineRule="auto"/>
        <w:ind w:left="567" w:right="1695"/>
        <w:rPr>
          <w:rFonts w:ascii="Arial" w:eastAsia="Arial" w:hAnsi="Arial" w:cs="Arial"/>
        </w:rPr>
      </w:pPr>
    </w:p>
    <w:p w14:paraId="59F76707" w14:textId="77777777" w:rsidR="00815FA8" w:rsidRPr="00815FA8" w:rsidRDefault="00815FA8" w:rsidP="00815FA8">
      <w:pPr>
        <w:spacing w:after="120" w:line="360" w:lineRule="auto"/>
        <w:ind w:left="567" w:right="1695"/>
        <w:rPr>
          <w:rFonts w:ascii="Arial" w:eastAsia="Arial" w:hAnsi="Arial" w:cs="Arial"/>
        </w:rPr>
      </w:pPr>
      <w:r>
        <w:rPr>
          <w:rFonts w:ascii="Arial" w:hAnsi="Arial"/>
        </w:rPr>
        <w:t xml:space="preserve">Grâce à la répartition des tâches, le système est facilement utilisable par tous les professionnels : La caméra sur la faucheuse frontale DISCO MOVE CLAAS enregistre les rumex et permet une optimisation de l'application. Avec le transfert à la plateforme de données </w:t>
      </w:r>
      <w:proofErr w:type="spellStart"/>
      <w:r>
        <w:rPr>
          <w:rFonts w:ascii="Arial" w:hAnsi="Arial"/>
        </w:rPr>
        <w:t>AmaConnect</w:t>
      </w:r>
      <w:proofErr w:type="spellEnd"/>
      <w:r>
        <w:rPr>
          <w:rFonts w:ascii="Arial" w:hAnsi="Arial"/>
        </w:rPr>
        <w:t xml:space="preserve"> AMAZONE, l’agriculteur, la CUMA ou l’entrepreneur agricole, </w:t>
      </w:r>
      <w:proofErr w:type="spellStart"/>
      <w:r>
        <w:rPr>
          <w:rFonts w:ascii="Arial" w:hAnsi="Arial"/>
        </w:rPr>
        <w:t>son</w:t>
      </w:r>
      <w:proofErr w:type="spellEnd"/>
      <w:r>
        <w:rPr>
          <w:rFonts w:ascii="Arial" w:hAnsi="Arial"/>
        </w:rPr>
        <w:t xml:space="preserve"> en mesure d’exécuter l’application. La répartition interentreprises des expertises permet des synergies idéales et surtout d'énormes avantages financiers dans la lutte contre les rumex. </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18CDE5E" w14:textId="41AAEB4F"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Détection ultra précise des rumex sans passage supplémentaire </w:t>
      </w:r>
    </w:p>
    <w:p w14:paraId="143B7BD7" w14:textId="11B757E5"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Traitement simple et convivial des données </w:t>
      </w:r>
    </w:p>
    <w:p w14:paraId="490AA9B8" w14:textId="28BD04ED"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 xml:space="preserve">Potentiel d’économie important associé à des performances élevées </w:t>
      </w:r>
    </w:p>
    <w:p w14:paraId="391DC92E" w14:textId="75A15B94"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Application localisée sans technique spéciale coûteuse</w:t>
      </w:r>
    </w:p>
    <w:p w14:paraId="46BBB6F6" w14:textId="7CFD3359" w:rsidR="00815FA8" w:rsidRPr="00815FA8" w:rsidRDefault="00815FA8" w:rsidP="00815FA8">
      <w:pPr>
        <w:pStyle w:val="Listenabsatz"/>
        <w:numPr>
          <w:ilvl w:val="0"/>
          <w:numId w:val="36"/>
        </w:numPr>
        <w:spacing w:after="120" w:line="360" w:lineRule="auto"/>
        <w:ind w:right="1695"/>
        <w:rPr>
          <w:rFonts w:ascii="Arial" w:eastAsia="Arial" w:hAnsi="Arial" w:cs="Arial"/>
        </w:rPr>
      </w:pPr>
      <w:r>
        <w:rPr>
          <w:rFonts w:ascii="Arial" w:hAnsi="Arial"/>
        </w:rPr>
        <w:t>Succès mesurable du traitement, grâce à la collecte de données sur plusieurs années</w:t>
      </w:r>
    </w:p>
    <w:p w14:paraId="108F8063" w14:textId="77777777" w:rsidR="00F10E9A" w:rsidRDefault="00F10E9A" w:rsidP="00F10E9A">
      <w:pPr>
        <w:spacing w:after="120" w:line="360" w:lineRule="auto"/>
        <w:ind w:right="1695"/>
        <w:rPr>
          <w:rFonts w:ascii="Arial" w:eastAsia="Arial" w:hAnsi="Arial" w:cs="Arial"/>
        </w:rPr>
      </w:pPr>
    </w:p>
    <w:p w14:paraId="2BF87DC3" w14:textId="77777777" w:rsidR="00FF49C4" w:rsidRDefault="00FF49C4" w:rsidP="00FF49C4">
      <w:pPr>
        <w:spacing w:after="120" w:line="360" w:lineRule="auto"/>
        <w:ind w:right="1695"/>
        <w:rPr>
          <w:rFonts w:ascii="Arial" w:eastAsia="Arial" w:hAnsi="Arial" w:cs="Arial"/>
        </w:rPr>
      </w:pPr>
    </w:p>
    <w:p w14:paraId="76FD65A6" w14:textId="33F7B05C"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0359463" wp14:editId="026635D1">
            <wp:extent cx="3477600" cy="2880000"/>
            <wp:effectExtent l="0" t="0" r="2540" b="3175"/>
            <wp:docPr id="166790218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02187" name="Grafik 166790218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E87B73" w14:textId="77777777" w:rsidR="00FF49C4" w:rsidRPr="00FF49C4" w:rsidRDefault="00FF49C4" w:rsidP="00FF49C4">
      <w:pPr>
        <w:spacing w:after="120" w:line="360" w:lineRule="auto"/>
        <w:ind w:left="567" w:right="1695"/>
        <w:rPr>
          <w:rFonts w:ascii="Arial" w:eastAsia="Arial" w:hAnsi="Arial" w:cs="Arial"/>
        </w:rPr>
      </w:pPr>
      <w:r>
        <w:rPr>
          <w:rFonts w:ascii="Arial" w:hAnsi="Arial"/>
        </w:rPr>
        <w:t>Description des procédés - détection des rumex lors de la fauche et création de cartes d'infestation (CLAAS) ; optimisation des cartes et traitement ciblé des rumex avec un pulvérisateur en différé (AMAZONE).</w:t>
      </w:r>
    </w:p>
    <w:p w14:paraId="03018600" w14:textId="77777777" w:rsidR="00FF49C4" w:rsidRDefault="00FF49C4" w:rsidP="00FF49C4">
      <w:pPr>
        <w:spacing w:after="120" w:line="360" w:lineRule="auto"/>
        <w:ind w:left="567" w:right="1695"/>
        <w:rPr>
          <w:rFonts w:ascii="Arial" w:eastAsia="Arial" w:hAnsi="Arial" w:cs="Arial"/>
        </w:rPr>
      </w:pPr>
    </w:p>
    <w:p w14:paraId="3BF81E33" w14:textId="77777777" w:rsidR="00FF49C4" w:rsidRDefault="00FF49C4" w:rsidP="00FF49C4">
      <w:pPr>
        <w:spacing w:after="120" w:line="360" w:lineRule="auto"/>
        <w:ind w:left="567" w:right="1695"/>
        <w:rPr>
          <w:rFonts w:ascii="Arial" w:eastAsia="Arial" w:hAnsi="Arial" w:cs="Arial"/>
        </w:rPr>
      </w:pPr>
    </w:p>
    <w:p w14:paraId="22B4B622" w14:textId="2A833C39"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07AA23BD" wp14:editId="51D7FBA9">
            <wp:extent cx="1440000" cy="1440000"/>
            <wp:effectExtent l="0" t="0" r="0" b="0"/>
            <wp:docPr id="9206767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76769" name="Grafik 920676769"/>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5AEFE68" w14:textId="77777777" w:rsidR="00FF49C4" w:rsidRPr="00FF49C4" w:rsidRDefault="00FF49C4" w:rsidP="00FF49C4">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www.amazone.net/yt-WeedDetector</w:t>
      </w:r>
    </w:p>
    <w:p w14:paraId="206B059D" w14:textId="77777777" w:rsidR="00FF49C4" w:rsidRDefault="00FF49C4" w:rsidP="00FF49C4">
      <w:pPr>
        <w:spacing w:after="120" w:line="360" w:lineRule="auto"/>
        <w:ind w:left="567" w:right="1695"/>
        <w:rPr>
          <w:rFonts w:ascii="Arial" w:eastAsia="Arial" w:hAnsi="Arial" w:cs="Arial"/>
        </w:rPr>
      </w:pPr>
    </w:p>
    <w:p w14:paraId="3DEDA021" w14:textId="77777777" w:rsidR="00FF49C4" w:rsidRDefault="00FF49C4" w:rsidP="00FF49C4">
      <w:pPr>
        <w:spacing w:after="120" w:line="360" w:lineRule="auto"/>
        <w:ind w:left="567" w:right="1695"/>
        <w:rPr>
          <w:rFonts w:ascii="Arial" w:eastAsia="Arial" w:hAnsi="Arial" w:cs="Arial"/>
        </w:rPr>
      </w:pPr>
    </w:p>
    <w:p w14:paraId="049D2880" w14:textId="0E72DFB5"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7FCD807" wp14:editId="1C22E98B">
            <wp:extent cx="3790800" cy="2880000"/>
            <wp:effectExtent l="0" t="0" r="0" b="3175"/>
            <wp:docPr id="148476853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8537" name="Grafik 148476853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90800" cy="2880000"/>
                    </a:xfrm>
                    <a:prstGeom prst="rect">
                      <a:avLst/>
                    </a:prstGeom>
                  </pic:spPr>
                </pic:pic>
              </a:graphicData>
            </a:graphic>
          </wp:inline>
        </w:drawing>
      </w:r>
    </w:p>
    <w:p w14:paraId="48553241" w14:textId="77777777" w:rsidR="00FF49C4" w:rsidRPr="00FF49C4" w:rsidRDefault="00FF49C4" w:rsidP="00FF49C4">
      <w:pPr>
        <w:spacing w:after="120" w:line="360" w:lineRule="auto"/>
        <w:ind w:left="567" w:right="1695"/>
        <w:rPr>
          <w:rFonts w:ascii="Arial" w:eastAsia="Arial" w:hAnsi="Arial" w:cs="Arial"/>
        </w:rPr>
      </w:pPr>
      <w:r>
        <w:rPr>
          <w:rFonts w:ascii="Arial" w:hAnsi="Arial"/>
        </w:rPr>
        <w:t>Caméras de détection des adventices montée sur la faucheuse frontale pour détecter les rumex et créer la carte de traitement ciblé.</w:t>
      </w:r>
    </w:p>
    <w:p w14:paraId="1C2CE7B7" w14:textId="77777777" w:rsidR="00FF49C4" w:rsidRDefault="00FF49C4" w:rsidP="00FF49C4">
      <w:pPr>
        <w:spacing w:after="120" w:line="360" w:lineRule="auto"/>
        <w:ind w:left="567" w:right="1695"/>
        <w:rPr>
          <w:rFonts w:ascii="Arial" w:eastAsia="Arial" w:hAnsi="Arial" w:cs="Arial"/>
        </w:rPr>
      </w:pPr>
    </w:p>
    <w:p w14:paraId="7EF273FE" w14:textId="77777777" w:rsidR="00FF49C4" w:rsidRDefault="00FF49C4" w:rsidP="00FF49C4">
      <w:pPr>
        <w:spacing w:after="120" w:line="360" w:lineRule="auto"/>
        <w:ind w:left="567" w:right="1695"/>
        <w:rPr>
          <w:rFonts w:ascii="Arial" w:eastAsia="Arial" w:hAnsi="Arial" w:cs="Arial"/>
        </w:rPr>
      </w:pPr>
    </w:p>
    <w:p w14:paraId="0B297FA8" w14:textId="6624D7F6"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2E7DEF34" wp14:editId="192E3138">
            <wp:extent cx="2332800" cy="2880000"/>
            <wp:effectExtent l="0" t="0" r="4445" b="3175"/>
            <wp:docPr id="9705526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552659" name="Grafik 9705526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2800" cy="2880000"/>
                    </a:xfrm>
                    <a:prstGeom prst="rect">
                      <a:avLst/>
                    </a:prstGeom>
                  </pic:spPr>
                </pic:pic>
              </a:graphicData>
            </a:graphic>
          </wp:inline>
        </w:drawing>
      </w:r>
    </w:p>
    <w:p w14:paraId="7391F7AD" w14:textId="021B26CA" w:rsidR="00FF49C4" w:rsidRPr="00FF49C4" w:rsidRDefault="00FF49C4" w:rsidP="00FF49C4">
      <w:pPr>
        <w:spacing w:after="120" w:line="360" w:lineRule="auto"/>
        <w:ind w:left="567" w:right="1695"/>
        <w:rPr>
          <w:rFonts w:ascii="Arial" w:eastAsia="Arial" w:hAnsi="Arial" w:cs="Arial"/>
        </w:rPr>
      </w:pPr>
      <w:r>
        <w:rPr>
          <w:rFonts w:ascii="Arial" w:hAnsi="Arial"/>
        </w:rPr>
        <w:t xml:space="preserve">Optimisation agronomique de la carte pour le pulvérisateur sur la plateforme de données </w:t>
      </w:r>
      <w:proofErr w:type="spellStart"/>
      <w:r>
        <w:rPr>
          <w:rFonts w:ascii="Arial" w:hAnsi="Arial"/>
        </w:rPr>
        <w:t>AmaConnect</w:t>
      </w:r>
      <w:proofErr w:type="spellEnd"/>
      <w:r>
        <w:rPr>
          <w:rFonts w:ascii="Arial" w:hAnsi="Arial"/>
        </w:rPr>
        <w:t>.</w:t>
      </w:r>
    </w:p>
    <w:p w14:paraId="15D3A0DE" w14:textId="77777777" w:rsidR="00FF49C4" w:rsidRDefault="00FF49C4" w:rsidP="00FF49C4">
      <w:pPr>
        <w:spacing w:after="120" w:line="360" w:lineRule="auto"/>
        <w:ind w:left="567" w:right="1695"/>
        <w:rPr>
          <w:rFonts w:ascii="Arial" w:eastAsia="Arial" w:hAnsi="Arial" w:cs="Arial"/>
        </w:rPr>
      </w:pPr>
    </w:p>
    <w:p w14:paraId="6651FF18" w14:textId="77777777" w:rsidR="00FF49C4" w:rsidRDefault="00FF49C4" w:rsidP="00FF49C4">
      <w:pPr>
        <w:spacing w:after="120" w:line="360" w:lineRule="auto"/>
        <w:ind w:left="567" w:right="1695"/>
        <w:rPr>
          <w:rFonts w:ascii="Arial" w:eastAsia="Arial" w:hAnsi="Arial" w:cs="Arial"/>
        </w:rPr>
      </w:pPr>
    </w:p>
    <w:p w14:paraId="06604A70" w14:textId="51CFAB4C"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6EB5CD3" wp14:editId="09E45F71">
            <wp:extent cx="6120000" cy="2109600"/>
            <wp:effectExtent l="0" t="0" r="1905" b="0"/>
            <wp:docPr id="194565198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51985" name="Grafik 194565198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074FCBB" w14:textId="77777777" w:rsidR="00FF49C4" w:rsidRPr="00FF49C4" w:rsidRDefault="00FF49C4" w:rsidP="00FF49C4">
      <w:pPr>
        <w:spacing w:after="120" w:line="360" w:lineRule="auto"/>
        <w:ind w:left="567" w:right="1695"/>
        <w:rPr>
          <w:rFonts w:ascii="Arial" w:eastAsia="Arial" w:hAnsi="Arial" w:cs="Arial"/>
        </w:rPr>
      </w:pPr>
      <w:r>
        <w:rPr>
          <w:rFonts w:ascii="Arial" w:hAnsi="Arial"/>
        </w:rPr>
        <w:t>Traitement de la surface infestée au moyen du pulvérisateur compatible avec la pulvérisation ciblée. Ici un AMAZONE UF 2002.</w:t>
      </w:r>
    </w:p>
    <w:p w14:paraId="3FFE7271" w14:textId="77777777" w:rsidR="00FF49C4" w:rsidRDefault="00FF49C4" w:rsidP="00FF49C4">
      <w:pPr>
        <w:spacing w:after="120" w:line="360" w:lineRule="auto"/>
        <w:ind w:left="567" w:right="1695"/>
        <w:rPr>
          <w:rFonts w:ascii="Arial" w:eastAsia="Arial" w:hAnsi="Arial" w:cs="Arial"/>
        </w:rPr>
      </w:pPr>
    </w:p>
    <w:p w14:paraId="24846772" w14:textId="77777777" w:rsidR="00FF49C4" w:rsidRDefault="00FF49C4" w:rsidP="00FF49C4">
      <w:pPr>
        <w:spacing w:after="120" w:line="360" w:lineRule="auto"/>
        <w:ind w:left="567" w:right="1695"/>
        <w:rPr>
          <w:rFonts w:ascii="Arial" w:eastAsia="Arial" w:hAnsi="Arial" w:cs="Arial"/>
        </w:rPr>
      </w:pPr>
    </w:p>
    <w:p w14:paraId="1465861B" w14:textId="2A845FF2" w:rsidR="00FF49C4" w:rsidRDefault="00FF49C4" w:rsidP="00FF49C4">
      <w:pPr>
        <w:spacing w:after="120" w:line="360" w:lineRule="auto"/>
        <w:ind w:left="567" w:right="1695"/>
        <w:rPr>
          <w:rFonts w:ascii="Arial" w:eastAsia="Arial" w:hAnsi="Arial" w:cs="Arial"/>
        </w:rPr>
      </w:pPr>
      <w:r>
        <w:rPr>
          <w:rFonts w:ascii="Arial" w:hAnsi="Arial"/>
          <w:noProof/>
        </w:rPr>
        <w:drawing>
          <wp:inline distT="0" distB="0" distL="0" distR="0" wp14:anchorId="33617DD6" wp14:editId="0F7B57CF">
            <wp:extent cx="4064400" cy="2880000"/>
            <wp:effectExtent l="0" t="0" r="0" b="3175"/>
            <wp:docPr id="50686953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69534" name="Grafik 5068695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ADBE859" w14:textId="7602340C" w:rsidR="00FF49C4" w:rsidRPr="00FF49C4" w:rsidRDefault="00FF49C4" w:rsidP="00FF49C4">
      <w:pPr>
        <w:spacing w:after="120" w:line="360" w:lineRule="auto"/>
        <w:ind w:left="567" w:right="1695"/>
        <w:rPr>
          <w:rFonts w:ascii="Arial" w:eastAsia="Arial" w:hAnsi="Arial" w:cs="Arial"/>
        </w:rPr>
      </w:pPr>
      <w:r>
        <w:rPr>
          <w:rFonts w:ascii="Arial" w:hAnsi="Arial"/>
        </w:rPr>
        <w:t>Vue détaillée d’un traitement sélectif des rumex au moyen de la pulvérisation ciblée.</w:t>
      </w:r>
    </w:p>
    <w:p w14:paraId="26C47716" w14:textId="77777777" w:rsidR="00FF49C4" w:rsidRDefault="00FF49C4" w:rsidP="00FF49C4">
      <w:pPr>
        <w:spacing w:after="120" w:line="360" w:lineRule="auto"/>
        <w:ind w:left="567" w:right="1695"/>
        <w:rPr>
          <w:rFonts w:ascii="Arial" w:eastAsia="Arial" w:hAnsi="Arial" w:cs="Arial"/>
        </w:rPr>
      </w:pPr>
    </w:p>
    <w:p w14:paraId="18C77286" w14:textId="77777777" w:rsidR="00FF49C4" w:rsidRDefault="00FF49C4" w:rsidP="00FF49C4">
      <w:pPr>
        <w:spacing w:after="120" w:line="360" w:lineRule="auto"/>
        <w:ind w:left="567" w:right="1695"/>
        <w:rPr>
          <w:rFonts w:ascii="Arial" w:eastAsia="Arial" w:hAnsi="Arial" w:cs="Arial"/>
        </w:rPr>
      </w:pPr>
    </w:p>
    <w:p w14:paraId="371FC818" w14:textId="6EAB99E5" w:rsidR="00FF49C4" w:rsidRDefault="00FF49C4" w:rsidP="00FF49C4">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3BCD11" wp14:editId="252820B4">
            <wp:extent cx="4064400" cy="2880000"/>
            <wp:effectExtent l="0" t="0" r="0" b="3175"/>
            <wp:docPr id="17300070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07086" name="Grafik 173000708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E134E2F" w14:textId="77777777" w:rsidR="00FF49C4" w:rsidRPr="00FF49C4" w:rsidRDefault="00FF49C4" w:rsidP="00FF49C4">
      <w:pPr>
        <w:spacing w:after="120" w:line="360" w:lineRule="auto"/>
        <w:ind w:left="567" w:right="1695"/>
        <w:rPr>
          <w:rFonts w:ascii="Arial" w:eastAsia="Arial" w:hAnsi="Arial" w:cs="Arial"/>
        </w:rPr>
      </w:pPr>
      <w:proofErr w:type="spellStart"/>
      <w:r>
        <w:rPr>
          <w:rFonts w:ascii="Arial" w:hAnsi="Arial"/>
        </w:rPr>
        <w:t>AmaTron</w:t>
      </w:r>
      <w:proofErr w:type="spellEnd"/>
      <w:r>
        <w:rPr>
          <w:rFonts w:ascii="Arial" w:hAnsi="Arial"/>
        </w:rPr>
        <w:t> 4 durant le traitement localisé des rumex. Affichage supplémentaire de la surface traitée (0,86 ha).</w:t>
      </w:r>
    </w:p>
    <w:p w14:paraId="04AE2884" w14:textId="77777777" w:rsidR="00FF49C4" w:rsidRDefault="00FF49C4" w:rsidP="00FF49C4">
      <w:pPr>
        <w:spacing w:after="120" w:line="360" w:lineRule="auto"/>
        <w:ind w:left="567" w:right="1695"/>
        <w:rPr>
          <w:rFonts w:ascii="Arial" w:eastAsia="Arial" w:hAnsi="Arial" w:cs="Arial"/>
        </w:rPr>
      </w:pPr>
    </w:p>
    <w:p w14:paraId="2E7931B9" w14:textId="77777777" w:rsidR="00815FA8" w:rsidRDefault="00815FA8" w:rsidP="00F10E9A">
      <w:pPr>
        <w:spacing w:after="120" w:line="360" w:lineRule="auto"/>
        <w:ind w:right="1695"/>
        <w:rPr>
          <w:rFonts w:ascii="Arial" w:eastAsia="Arial" w:hAnsi="Arial" w:cs="Arial"/>
        </w:rPr>
      </w:pPr>
    </w:p>
    <w:p w14:paraId="01B397E7" w14:textId="77777777" w:rsidR="00815FA8" w:rsidRPr="00F4316E" w:rsidRDefault="00815FA8"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6"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6D83A0" w14:textId="77777777" w:rsidR="00432D3F" w:rsidRDefault="00432D3F">
      <w:r>
        <w:separator/>
      </w:r>
    </w:p>
  </w:endnote>
  <w:endnote w:type="continuationSeparator" w:id="0">
    <w:p w14:paraId="40217CB4" w14:textId="77777777" w:rsidR="00432D3F" w:rsidRDefault="00432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781C43" w14:textId="77777777" w:rsidR="00432D3F" w:rsidRDefault="00432D3F">
      <w:r>
        <w:separator/>
      </w:r>
    </w:p>
  </w:footnote>
  <w:footnote w:type="continuationSeparator" w:id="0">
    <w:p w14:paraId="269A9F67" w14:textId="77777777" w:rsidR="00432D3F" w:rsidRDefault="00432D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3501AB4"/>
    <w:multiLevelType w:val="hybridMultilevel"/>
    <w:tmpl w:val="A7E23B02"/>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15:restartNumberingAfterBreak="0">
    <w:nsid w:val="474260E2"/>
    <w:multiLevelType w:val="hybridMultilevel"/>
    <w:tmpl w:val="02BE8FD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1"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31"/>
  </w:num>
  <w:num w:numId="8" w16cid:durableId="33434184">
    <w:abstractNumId w:val="24"/>
  </w:num>
  <w:num w:numId="9" w16cid:durableId="274018629">
    <w:abstractNumId w:val="29"/>
  </w:num>
  <w:num w:numId="10" w16cid:durableId="1622229493">
    <w:abstractNumId w:val="30"/>
  </w:num>
  <w:num w:numId="11" w16cid:durableId="280575959">
    <w:abstractNumId w:val="27"/>
  </w:num>
  <w:num w:numId="12" w16cid:durableId="169492611">
    <w:abstractNumId w:val="33"/>
  </w:num>
  <w:num w:numId="13" w16cid:durableId="711804392">
    <w:abstractNumId w:val="34"/>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5"/>
  </w:num>
  <w:num w:numId="19" w16cid:durableId="595864091">
    <w:abstractNumId w:val="14"/>
  </w:num>
  <w:num w:numId="20" w16cid:durableId="2085832550">
    <w:abstractNumId w:val="28"/>
  </w:num>
  <w:num w:numId="21" w16cid:durableId="1235970655">
    <w:abstractNumId w:val="0"/>
  </w:num>
  <w:num w:numId="22" w16cid:durableId="454446071">
    <w:abstractNumId w:val="13"/>
  </w:num>
  <w:num w:numId="23" w16cid:durableId="1538158893">
    <w:abstractNumId w:val="5"/>
  </w:num>
  <w:num w:numId="24" w16cid:durableId="1042562684">
    <w:abstractNumId w:val="32"/>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 w:numId="35" w16cid:durableId="1442147673">
    <w:abstractNumId w:val="26"/>
  </w:num>
  <w:num w:numId="36" w16cid:durableId="201818681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2D3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6993"/>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3A9"/>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5F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1685"/>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15F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9C4"/>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france/"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france"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amazone.fr" TargetMode="External"/><Relationship Id="rId20" Type="http://schemas.openxmlformats.org/officeDocument/2006/relationships/hyperlink" Target="https://instagram.com/amazone_france"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1236</Words>
  <Characters>7333</Characters>
  <Application>Microsoft Office Word</Application>
  <DocSecurity>0</DocSecurity>
  <Lines>61</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8552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2025-08-18T12:19:00Z</dcterms:created>
  <dcterms:modified xsi:type="dcterms:W3CDTF">2025-09-02T08:44:00Z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