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F0B20" w14:textId="77777777" w:rsidR="00815FA8" w:rsidRPr="00815FA8" w:rsidRDefault="00815FA8" w:rsidP="00815FA8">
      <w:pPr>
        <w:spacing w:line="360" w:lineRule="auto"/>
        <w:ind w:left="567" w:right="1695"/>
        <w:rPr>
          <w:rFonts w:ascii="Arial" w:hAnsi="Arial" w:cs="Arial"/>
          <w:b/>
          <w:bCs/>
          <w:sz w:val="28"/>
          <w:szCs w:val="28"/>
        </w:rPr>
      </w:pPr>
      <w:r>
        <w:rPr>
          <w:rFonts w:ascii="Arial" w:hAnsi="Arial"/>
          <w:b/>
          <w:sz w:val="28"/>
        </w:rPr>
        <w:t xml:space="preserve">Weed Detector для точечного применения на пастбищах </w:t>
      </w:r>
    </w:p>
    <w:p w14:paraId="77523A59" w14:textId="77777777" w:rsidR="00070765" w:rsidRDefault="00070765" w:rsidP="00330541">
      <w:pPr>
        <w:spacing w:line="360" w:lineRule="auto"/>
        <w:ind w:left="567" w:right="1695"/>
        <w:rPr>
          <w:rFonts w:ascii="Arial" w:hAnsi="Arial" w:cs="Arial"/>
        </w:rPr>
      </w:pPr>
    </w:p>
    <w:p w14:paraId="6ACC3549"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Эффективное уничтожение щавеля на пастбищах посредством обнаружения растений на основе искусственного интеллекта во время уборки кормов</w:t>
      </w:r>
    </w:p>
    <w:p w14:paraId="37252EA7" w14:textId="77777777" w:rsidR="00815FA8" w:rsidRPr="00815FA8" w:rsidRDefault="00815FA8" w:rsidP="00815FA8">
      <w:pPr>
        <w:spacing w:after="120" w:line="360" w:lineRule="auto"/>
        <w:ind w:left="567" w:right="1695"/>
        <w:rPr>
          <w:rFonts w:ascii="Arial" w:eastAsia="Arial" w:hAnsi="Arial" w:cs="Arial"/>
        </w:rPr>
      </w:pPr>
      <w:r>
        <w:rPr>
          <w:rFonts w:ascii="Arial" w:hAnsi="Arial"/>
        </w:rPr>
        <w:t>Уничтожение щавеля на пастбищах является важнейшей мерой для достижения высочайшего качества кормов. В качестве альтернативы косвенным или механическим мерам в некоторых регионах с 2022 года запрещена химическая обработка в виде сплошного опрыскивания. Точечная обработка может осуществляться щеточным методом или методом точечного опрыскивания Spot-Spraying. В настоящее время существует несколько специализированных устройств для точечного опрыскивания, которые обнаруживают щавель во время прохода и непосредственно обрабатывают его. Эти специализированные устройства дороги и, по сравнению с традиционными опрыскивателями, имеют значительно ограниченные возможности применения. Кроме того, они позволяют обрабатывать только узкую ширину захвата, что значительно увеличивает трудозатраты, поскольку необходимо обрабатывать всю площадь.</w:t>
      </w:r>
    </w:p>
    <w:p w14:paraId="287B7D2F" w14:textId="77777777" w:rsidR="00815FA8" w:rsidRPr="00815FA8" w:rsidRDefault="00815FA8" w:rsidP="00815FA8">
      <w:pPr>
        <w:spacing w:after="120" w:line="360" w:lineRule="auto"/>
        <w:ind w:left="567" w:right="1695"/>
        <w:rPr>
          <w:rFonts w:ascii="Arial" w:eastAsia="Arial" w:hAnsi="Arial" w:cs="Arial"/>
        </w:rPr>
      </w:pPr>
    </w:p>
    <w:p w14:paraId="247E369D"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Целевое обнаружение и агрономическая оценка</w:t>
      </w:r>
      <w:r>
        <w:rPr>
          <w:rFonts w:ascii="Arial" w:hAnsi="Arial"/>
        </w:rPr>
        <w:t xml:space="preserve"> </w:t>
      </w:r>
    </w:p>
    <w:p w14:paraId="1901E3E7" w14:textId="77777777" w:rsidR="00815FA8" w:rsidRPr="00815FA8" w:rsidRDefault="00815FA8" w:rsidP="00815FA8">
      <w:pPr>
        <w:spacing w:after="120" w:line="360" w:lineRule="auto"/>
        <w:ind w:left="567" w:right="1695"/>
        <w:rPr>
          <w:rFonts w:ascii="Arial" w:eastAsia="Arial" w:hAnsi="Arial" w:cs="Arial"/>
        </w:rPr>
      </w:pPr>
      <w:r>
        <w:rPr>
          <w:rFonts w:ascii="Arial" w:hAnsi="Arial"/>
        </w:rPr>
        <w:t>Новый подход к уничтожению щавеля в рамках ступенчатого метода решает проблемы предыдущих технологий. Компания CLAAS разработала для своих косилок систему Weed Detector, которая использует камеру для обнаружения щавеля во время кошения. Система камер устанавливается на жесткой стойке фронтальной косилки, обеспечивая надежную обработку по всей ширине захвата. Программное обеспечение на основе искусственного интеллекта анализирует изображения и создает карту засоренности. Можно учитывать данные, полученные за несколько скашиваний.</w:t>
      </w:r>
    </w:p>
    <w:p w14:paraId="7890D79A" w14:textId="77777777" w:rsidR="00815FA8" w:rsidRPr="00815FA8" w:rsidRDefault="00815FA8" w:rsidP="00815FA8">
      <w:pPr>
        <w:spacing w:after="120" w:line="360" w:lineRule="auto"/>
        <w:ind w:left="567" w:right="1695"/>
        <w:rPr>
          <w:rFonts w:ascii="Arial" w:eastAsia="Arial" w:hAnsi="Arial" w:cs="Arial"/>
        </w:rPr>
      </w:pPr>
    </w:p>
    <w:p w14:paraId="67AC221C" w14:textId="77777777" w:rsidR="00815FA8" w:rsidRPr="00815FA8" w:rsidRDefault="00815FA8" w:rsidP="00815FA8">
      <w:pPr>
        <w:spacing w:after="120" w:line="360" w:lineRule="auto"/>
        <w:ind w:left="567" w:right="1695"/>
        <w:rPr>
          <w:rFonts w:ascii="Arial" w:eastAsia="Arial" w:hAnsi="Arial" w:cs="Arial"/>
        </w:rPr>
      </w:pPr>
      <w:r>
        <w:rPr>
          <w:rFonts w:ascii="Arial" w:hAnsi="Arial"/>
        </w:rPr>
        <w:lastRenderedPageBreak/>
        <w:t>Кроме того, фермер может провести агрономическую оценку участков, потенциально подлежащих обработке, прежде чем приступить к обработке поля опрыскивателем. Обработка проводится позднее скашивания, в соответствии с надлежащей агротехникой, чтобы сорняки успели набрать массу листьев. Масса листьев определяет необходимую площадь обработки. На основе данных о местоположении и истории поля в системе CLAAS connect Farm Management вокруг точек обнаружения определяется агротехнический буфер безопасности, например, 50 см. Этот этап точечного опрыскивания не критичен по времени, поскольку после скашивания должно пройти несколько дней, прежде чем щавель достаточно отрастет.</w:t>
      </w:r>
    </w:p>
    <w:p w14:paraId="51A56D0E" w14:textId="77777777" w:rsidR="00815FA8" w:rsidRPr="00815FA8" w:rsidRDefault="00815FA8" w:rsidP="00815FA8">
      <w:pPr>
        <w:spacing w:after="120" w:line="360" w:lineRule="auto"/>
        <w:ind w:left="567" w:right="1695"/>
        <w:rPr>
          <w:rFonts w:ascii="Arial" w:eastAsia="Arial" w:hAnsi="Arial" w:cs="Arial"/>
        </w:rPr>
      </w:pPr>
    </w:p>
    <w:p w14:paraId="5255869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Карта с агротехническими целевыми участками передается на облачную платформу данных AmaConnect. Там создается карта внесения в зависимости от используемой технологии опрыскивания. Эта карта с агротехническими целевыми участками позволяет точно спрогнозировать необходимое количество рабочего раствора для каждого поля. </w:t>
      </w:r>
    </w:p>
    <w:p w14:paraId="3619BDF4" w14:textId="77777777" w:rsidR="00815FA8" w:rsidRPr="00815FA8" w:rsidRDefault="00815FA8" w:rsidP="00815FA8">
      <w:pPr>
        <w:spacing w:after="120" w:line="360" w:lineRule="auto"/>
        <w:ind w:left="567" w:right="1695"/>
        <w:rPr>
          <w:rFonts w:ascii="Arial" w:eastAsia="Arial" w:hAnsi="Arial" w:cs="Arial"/>
        </w:rPr>
      </w:pPr>
    </w:p>
    <w:p w14:paraId="149904B9" w14:textId="77777777" w:rsidR="00815FA8" w:rsidRPr="00815FA8" w:rsidRDefault="00815FA8" w:rsidP="00815FA8">
      <w:pPr>
        <w:spacing w:after="120" w:line="360" w:lineRule="auto"/>
        <w:ind w:left="567" w:right="1695"/>
        <w:rPr>
          <w:rFonts w:ascii="Arial" w:eastAsia="Arial" w:hAnsi="Arial" w:cs="Arial"/>
          <w:b/>
          <w:bCs/>
        </w:rPr>
      </w:pPr>
      <w:r>
        <w:rPr>
          <w:rFonts w:ascii="Arial" w:hAnsi="Arial"/>
          <w:b/>
        </w:rPr>
        <w:t xml:space="preserve">Прецизионное точечное внесение с помощью AMAZONE AmaXact </w:t>
      </w:r>
    </w:p>
    <w:p w14:paraId="4D56E0D5"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Потенциал экономии при точечном опрыскивании зависит не только от степени заражения, но и в значительной степени от размера секций опрыскивателя. Чем меньше секция, тем выше экономия. Поэтому технология внесения AMAZONE с индивидуальным управлением форсунками, а значит, и шириной секции 50 см, особенно подходит для данной области применения. Помимо нового корпуса форсунки AmaXact, система Dock Control также работает с проверенным корпусом форсунки AmaSelect. Это позволяет фермерам использовать существующие технологии и участвовать в инновациях. </w:t>
      </w:r>
    </w:p>
    <w:p w14:paraId="18FC2AFD" w14:textId="77777777" w:rsidR="00815FA8" w:rsidRPr="00815FA8" w:rsidRDefault="00815FA8" w:rsidP="00815FA8">
      <w:pPr>
        <w:spacing w:after="120" w:line="360" w:lineRule="auto"/>
        <w:ind w:left="567" w:right="1695"/>
        <w:rPr>
          <w:rFonts w:ascii="Arial" w:eastAsia="Arial" w:hAnsi="Arial" w:cs="Arial"/>
        </w:rPr>
      </w:pPr>
    </w:p>
    <w:p w14:paraId="1D09FD0F"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Благодаря прочной конструкции, рассчитанной на частые переключения, новый корпус форсунки AmaXact с широтно-импульсной частотной </w:t>
      </w:r>
      <w:r>
        <w:rPr>
          <w:rFonts w:ascii="Arial" w:hAnsi="Arial"/>
        </w:rPr>
        <w:lastRenderedPageBreak/>
        <w:t>модуляцией (PWFM) идеально подходит для точечного опрыскивания. Благодаря короткому времени переключения, необходимому для точечного опрыскивания, размер пятна можно дополнительно уменьшить с помощью системы AmaXact. Увеличивается экономия средств защиты растений и, соответственно, снижается расход рабочего раствора. Это обеспечивает устойчивую защиту растений.</w:t>
      </w:r>
    </w:p>
    <w:p w14:paraId="233DF76D" w14:textId="77777777" w:rsidR="00815FA8" w:rsidRPr="00815FA8" w:rsidRDefault="00815FA8" w:rsidP="00815FA8">
      <w:pPr>
        <w:spacing w:after="120" w:line="360" w:lineRule="auto"/>
        <w:ind w:left="567" w:right="1695"/>
        <w:rPr>
          <w:rFonts w:ascii="Arial" w:eastAsia="Arial" w:hAnsi="Arial" w:cs="Arial"/>
        </w:rPr>
      </w:pPr>
    </w:p>
    <w:p w14:paraId="1B49D54F"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Передача данных через облако</w:t>
      </w:r>
    </w:p>
    <w:p w14:paraId="7A8900D3"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Для наглядного и удобного управления данными карта точечного опрыскивания может передаваться полностью по беспроводной связи. Косилка отправляет данные по мобильной сети в систему CLAAS connect Farm Management. Карта пересылается через облачное соединение на платформу данных AMAZONE AmaConnect. В зависимости от используемой технологии обработки, AmaConnect автоматически оптимизирует полученную карту обработки. Это обеспечивает безопасную обработку щавеля на практике. Пользователь получает общую площадь обработанных участков для приготовления необходимого количества рабочего раствора. </w:t>
      </w:r>
    </w:p>
    <w:p w14:paraId="74F1A9A4" w14:textId="77777777" w:rsidR="00815FA8" w:rsidRPr="00815FA8" w:rsidRDefault="00815FA8" w:rsidP="00815FA8">
      <w:pPr>
        <w:spacing w:after="120" w:line="360" w:lineRule="auto"/>
        <w:ind w:left="567" w:right="1695"/>
        <w:rPr>
          <w:rFonts w:ascii="Arial" w:eastAsia="Arial" w:hAnsi="Arial" w:cs="Arial"/>
        </w:rPr>
      </w:pPr>
    </w:p>
    <w:p w14:paraId="7605F6AE"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Карта точечной обработки участков отправляется на AmaTron 4 перед внесением через приложение AmaTron Share или, в будущем, непосредственно через облачный сервис AmaConnect. Теперь можно проводить точечную обработку с помощью полевого опрыскивателя в оптимальные с агрономической точки зрения сроки. </w:t>
      </w:r>
    </w:p>
    <w:p w14:paraId="5DD56606" w14:textId="77777777" w:rsidR="00815FA8" w:rsidRPr="00815FA8" w:rsidRDefault="00815FA8" w:rsidP="00815FA8">
      <w:pPr>
        <w:spacing w:after="120" w:line="360" w:lineRule="auto"/>
        <w:ind w:left="567" w:right="1695"/>
        <w:rPr>
          <w:rFonts w:ascii="Arial" w:eastAsia="Arial" w:hAnsi="Arial" w:cs="Arial"/>
        </w:rPr>
      </w:pPr>
    </w:p>
    <w:p w14:paraId="5EB7D4E9"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 xml:space="preserve">Особые преимущества процесса с AmaXact и Weed Detector </w:t>
      </w:r>
    </w:p>
    <w:p w14:paraId="4D6FDB9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Система Weed Detector позволяет значительно экономить средства защиты растений на пастбищах без необходимости приобретения специальной техники для внесения. Более значительная ширина захвата </w:t>
      </w:r>
      <w:r>
        <w:rPr>
          <w:rFonts w:ascii="Arial" w:hAnsi="Arial"/>
        </w:rPr>
        <w:lastRenderedPageBreak/>
        <w:t xml:space="preserve">существенно повышает производительность по сравнению со специализированными устройствами SpotSpray. </w:t>
      </w:r>
    </w:p>
    <w:p w14:paraId="57480DBD" w14:textId="77777777" w:rsidR="00815FA8" w:rsidRPr="00815FA8" w:rsidRDefault="00815FA8" w:rsidP="00815FA8">
      <w:pPr>
        <w:spacing w:after="120" w:line="360" w:lineRule="auto"/>
        <w:ind w:left="567" w:right="1695"/>
        <w:rPr>
          <w:rFonts w:ascii="Arial" w:eastAsia="Arial" w:hAnsi="Arial" w:cs="Arial"/>
        </w:rPr>
      </w:pPr>
    </w:p>
    <w:p w14:paraId="0243FC5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По сравнению с полетом дрона над полем для обнаружения сорняков, система предлагает преимущество картирования во время кошения, что исключает дополнительные этапы процесса. Технология может использоваться в любых условиях: применение дрона на практике часто невозможно в ветреную погоду, на крутых холмистых участках или при наличии препятствий, таких как линии электропередачи. </w:t>
      </w:r>
    </w:p>
    <w:p w14:paraId="0534E9BB" w14:textId="77777777" w:rsidR="00815FA8" w:rsidRPr="00815FA8" w:rsidRDefault="00815FA8" w:rsidP="00815FA8">
      <w:pPr>
        <w:spacing w:after="120" w:line="360" w:lineRule="auto"/>
        <w:ind w:left="567" w:right="1695"/>
        <w:rPr>
          <w:rFonts w:ascii="Arial" w:eastAsia="Arial" w:hAnsi="Arial" w:cs="Arial"/>
        </w:rPr>
      </w:pPr>
    </w:p>
    <w:p w14:paraId="59F7670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Распределение задач в системе упрощает использование для любого специалиста: Камера фронтальной косилки CLAAS DISCO MOVE обнаруживает щавель и позволяет корректировать обработку. Передавая данные на платформу данных AMAZONE AmaConnect, фермер, механизатор или подрядчик могут запустить приложение. Межхозяйственное распределение опыта обеспечивает идеальную синергию и, прежде всего, значительную экономию средств при контроле посевов. </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18CDE5E" w14:textId="41AAEB4F"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Высокопрецизионное обнаружение щавеля без дополнительных этапов работы </w:t>
      </w:r>
    </w:p>
    <w:p w14:paraId="143B7BD7" w14:textId="11B757E5"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Простая и практичная обработка данных </w:t>
      </w:r>
    </w:p>
    <w:p w14:paraId="490AA9B8" w14:textId="28BD04ED"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Высокий потенциал экономии при высокой производительности </w:t>
      </w:r>
    </w:p>
    <w:p w14:paraId="391DC92E" w14:textId="75A15B94"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Точечное внесение без дорогостоящей специализированной техники</w:t>
      </w:r>
    </w:p>
    <w:p w14:paraId="46BBB6F6" w14:textId="7CFD3359"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lastRenderedPageBreak/>
        <w:t>Измеримый успех обработки благодаря многолетнему сбору данных</w:t>
      </w:r>
    </w:p>
    <w:p w14:paraId="108F8063" w14:textId="77777777" w:rsidR="00F10E9A" w:rsidRDefault="00F10E9A" w:rsidP="00F10E9A">
      <w:pPr>
        <w:spacing w:after="120" w:line="360" w:lineRule="auto"/>
        <w:ind w:right="1695"/>
        <w:rPr>
          <w:rFonts w:ascii="Arial" w:eastAsia="Arial" w:hAnsi="Arial" w:cs="Arial"/>
        </w:rPr>
      </w:pPr>
    </w:p>
    <w:p w14:paraId="2BF87DC3" w14:textId="77777777" w:rsidR="00FF49C4" w:rsidRDefault="00FF49C4" w:rsidP="00FF49C4">
      <w:pPr>
        <w:spacing w:after="120" w:line="360" w:lineRule="auto"/>
        <w:ind w:right="1695"/>
        <w:rPr>
          <w:rFonts w:ascii="Arial" w:eastAsia="Arial" w:hAnsi="Arial" w:cs="Arial"/>
        </w:rPr>
      </w:pPr>
    </w:p>
    <w:p w14:paraId="76FD65A6" w14:textId="33F7B05C"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40359463" wp14:editId="026635D1">
            <wp:extent cx="3477600" cy="2880000"/>
            <wp:effectExtent l="0" t="0" r="2540" b="3175"/>
            <wp:docPr id="166790218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02187" name="Grafik 166790218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E87B73" w14:textId="77777777" w:rsidR="00FF49C4" w:rsidRPr="00FF49C4" w:rsidRDefault="00FF49C4" w:rsidP="00FF49C4">
      <w:pPr>
        <w:spacing w:after="120" w:line="360" w:lineRule="auto"/>
        <w:ind w:left="567" w:right="1695"/>
        <w:rPr>
          <w:rFonts w:ascii="Arial" w:eastAsia="Arial" w:hAnsi="Arial" w:cs="Arial"/>
        </w:rPr>
      </w:pPr>
      <w:r>
        <w:rPr>
          <w:rFonts w:ascii="Arial" w:hAnsi="Arial"/>
        </w:rPr>
        <w:t>Обзор процесса; обнаружение щавеля во время скашивания и создание карт зараженности (CLAAS); оптимизация карты и смещенная по времени обработка щавеля опрыскивателем (AMAZONE).</w:t>
      </w:r>
    </w:p>
    <w:p w14:paraId="03018600" w14:textId="77777777" w:rsidR="00FF49C4" w:rsidRDefault="00FF49C4" w:rsidP="00FF49C4">
      <w:pPr>
        <w:spacing w:after="120" w:line="360" w:lineRule="auto"/>
        <w:ind w:left="567" w:right="1695"/>
        <w:rPr>
          <w:rFonts w:ascii="Arial" w:eastAsia="Arial" w:hAnsi="Arial" w:cs="Arial"/>
        </w:rPr>
      </w:pPr>
    </w:p>
    <w:p w14:paraId="3BF81E33" w14:textId="77777777" w:rsidR="00FF49C4" w:rsidRDefault="00FF49C4" w:rsidP="00FF49C4">
      <w:pPr>
        <w:spacing w:after="120" w:line="360" w:lineRule="auto"/>
        <w:ind w:left="567" w:right="1695"/>
        <w:rPr>
          <w:rFonts w:ascii="Arial" w:eastAsia="Arial" w:hAnsi="Arial" w:cs="Arial"/>
        </w:rPr>
      </w:pPr>
    </w:p>
    <w:p w14:paraId="22B4B622" w14:textId="2A833C39"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07AA23BD" wp14:editId="51D7FBA9">
            <wp:extent cx="1440000" cy="1440000"/>
            <wp:effectExtent l="0" t="0" r="0" b="0"/>
            <wp:docPr id="92067676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76769" name="Grafik 920676769"/>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5AEFE68" w14:textId="77777777" w:rsidR="00FF49C4" w:rsidRPr="00FF49C4" w:rsidRDefault="00FF49C4" w:rsidP="00FF49C4">
      <w:pPr>
        <w:spacing w:after="120" w:line="360" w:lineRule="auto"/>
        <w:ind w:left="567" w:right="1695"/>
        <w:rPr>
          <w:rFonts w:ascii="Arial" w:eastAsia="Arial" w:hAnsi="Arial" w:cs="Arial"/>
          <w:b/>
          <w:bCs/>
        </w:rPr>
      </w:pPr>
      <w:r>
        <w:rPr>
          <w:rFonts w:ascii="Arial" w:hAnsi="Arial"/>
        </w:rPr>
        <w:t xml:space="preserve">Видео: </w:t>
      </w:r>
      <w:r>
        <w:rPr>
          <w:rFonts w:ascii="Arial" w:hAnsi="Arial"/>
        </w:rPr>
        <w:br/>
      </w:r>
      <w:r>
        <w:rPr>
          <w:rFonts w:ascii="Arial" w:hAnsi="Arial"/>
          <w:b/>
        </w:rPr>
        <w:t>www.amazone.net/yt-WeedDetector</w:t>
      </w:r>
    </w:p>
    <w:p w14:paraId="206B059D" w14:textId="77777777" w:rsidR="00FF49C4" w:rsidRDefault="00FF49C4" w:rsidP="00FF49C4">
      <w:pPr>
        <w:spacing w:after="120" w:line="360" w:lineRule="auto"/>
        <w:ind w:left="567" w:right="1695"/>
        <w:rPr>
          <w:rFonts w:ascii="Arial" w:eastAsia="Arial" w:hAnsi="Arial" w:cs="Arial"/>
        </w:rPr>
      </w:pPr>
    </w:p>
    <w:p w14:paraId="3DEDA021" w14:textId="77777777" w:rsidR="00FF49C4" w:rsidRDefault="00FF49C4" w:rsidP="00FF49C4">
      <w:pPr>
        <w:spacing w:after="120" w:line="360" w:lineRule="auto"/>
        <w:ind w:left="567" w:right="1695"/>
        <w:rPr>
          <w:rFonts w:ascii="Arial" w:eastAsia="Arial" w:hAnsi="Arial" w:cs="Arial"/>
        </w:rPr>
      </w:pPr>
    </w:p>
    <w:p w14:paraId="049D2880" w14:textId="0E72DFB5"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7FCD807" wp14:editId="1C22E98B">
            <wp:extent cx="3790800" cy="2880000"/>
            <wp:effectExtent l="0" t="0" r="0" b="3175"/>
            <wp:docPr id="148476853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8537" name="Grafik 148476853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90800" cy="2880000"/>
                    </a:xfrm>
                    <a:prstGeom prst="rect">
                      <a:avLst/>
                    </a:prstGeom>
                  </pic:spPr>
                </pic:pic>
              </a:graphicData>
            </a:graphic>
          </wp:inline>
        </w:drawing>
      </w:r>
    </w:p>
    <w:p w14:paraId="48553241" w14:textId="77777777" w:rsidR="00FF49C4" w:rsidRPr="00FF49C4" w:rsidRDefault="00FF49C4" w:rsidP="00FF49C4">
      <w:pPr>
        <w:spacing w:after="120" w:line="360" w:lineRule="auto"/>
        <w:ind w:left="567" w:right="1695"/>
        <w:rPr>
          <w:rFonts w:ascii="Arial" w:eastAsia="Arial" w:hAnsi="Arial" w:cs="Arial"/>
        </w:rPr>
      </w:pPr>
      <w:r>
        <w:rPr>
          <w:rFonts w:ascii="Arial" w:hAnsi="Arial"/>
        </w:rPr>
        <w:t>На передней косилке установлен блок камеры Weed Detector для обнаружения щавеля и создания карты точечного опрыскивания.</w:t>
      </w:r>
    </w:p>
    <w:p w14:paraId="1C2CE7B7" w14:textId="77777777" w:rsidR="00FF49C4" w:rsidRDefault="00FF49C4" w:rsidP="00FF49C4">
      <w:pPr>
        <w:spacing w:after="120" w:line="360" w:lineRule="auto"/>
        <w:ind w:left="567" w:right="1695"/>
        <w:rPr>
          <w:rFonts w:ascii="Arial" w:eastAsia="Arial" w:hAnsi="Arial" w:cs="Arial"/>
        </w:rPr>
      </w:pPr>
    </w:p>
    <w:p w14:paraId="7EF273FE" w14:textId="77777777" w:rsidR="00FF49C4" w:rsidRDefault="00FF49C4" w:rsidP="00FF49C4">
      <w:pPr>
        <w:spacing w:after="120" w:line="360" w:lineRule="auto"/>
        <w:ind w:left="567" w:right="1695"/>
        <w:rPr>
          <w:rFonts w:ascii="Arial" w:eastAsia="Arial" w:hAnsi="Arial" w:cs="Arial"/>
        </w:rPr>
      </w:pPr>
    </w:p>
    <w:p w14:paraId="0B297FA8" w14:textId="6624D7F6"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2E7DEF34" wp14:editId="192E3138">
            <wp:extent cx="2332800" cy="2880000"/>
            <wp:effectExtent l="0" t="0" r="4445" b="3175"/>
            <wp:docPr id="9705526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552659" name="Grafik 9705526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32800" cy="2880000"/>
                    </a:xfrm>
                    <a:prstGeom prst="rect">
                      <a:avLst/>
                    </a:prstGeom>
                  </pic:spPr>
                </pic:pic>
              </a:graphicData>
            </a:graphic>
          </wp:inline>
        </w:drawing>
      </w:r>
    </w:p>
    <w:p w14:paraId="7391F7AD" w14:textId="021B26CA" w:rsidR="00FF49C4" w:rsidRPr="00FF49C4" w:rsidRDefault="00FF49C4" w:rsidP="00FF49C4">
      <w:pPr>
        <w:spacing w:after="120" w:line="360" w:lineRule="auto"/>
        <w:ind w:left="567" w:right="1695"/>
        <w:rPr>
          <w:rFonts w:ascii="Arial" w:eastAsia="Arial" w:hAnsi="Arial" w:cs="Arial"/>
        </w:rPr>
      </w:pPr>
      <w:r>
        <w:rPr>
          <w:rFonts w:ascii="Arial" w:hAnsi="Arial"/>
        </w:rPr>
        <w:t>Агрономическая оптимизация карты для опрыскивателя выполняется на облачной платформе данных AmaConnect.</w:t>
      </w:r>
    </w:p>
    <w:p w14:paraId="15D3A0DE" w14:textId="77777777" w:rsidR="00FF49C4" w:rsidRDefault="00FF49C4" w:rsidP="00FF49C4">
      <w:pPr>
        <w:spacing w:after="120" w:line="360" w:lineRule="auto"/>
        <w:ind w:left="567" w:right="1695"/>
        <w:rPr>
          <w:rFonts w:ascii="Arial" w:eastAsia="Arial" w:hAnsi="Arial" w:cs="Arial"/>
        </w:rPr>
      </w:pPr>
    </w:p>
    <w:p w14:paraId="6651FF18" w14:textId="77777777" w:rsidR="00FF49C4" w:rsidRDefault="00FF49C4" w:rsidP="00FF49C4">
      <w:pPr>
        <w:spacing w:after="120" w:line="360" w:lineRule="auto"/>
        <w:ind w:left="567" w:right="1695"/>
        <w:rPr>
          <w:rFonts w:ascii="Arial" w:eastAsia="Arial" w:hAnsi="Arial" w:cs="Arial"/>
        </w:rPr>
      </w:pPr>
    </w:p>
    <w:p w14:paraId="06604A70" w14:textId="51CFAB4C"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6EB5CD3" wp14:editId="09E45F71">
            <wp:extent cx="6120000" cy="2109600"/>
            <wp:effectExtent l="0" t="0" r="1905" b="0"/>
            <wp:docPr id="194565198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51985" name="Grafik 194565198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074FCBB" w14:textId="77777777" w:rsidR="00FF49C4" w:rsidRPr="00FF49C4" w:rsidRDefault="00FF49C4" w:rsidP="00FF49C4">
      <w:pPr>
        <w:spacing w:after="120" w:line="360" w:lineRule="auto"/>
        <w:ind w:left="567" w:right="1695"/>
        <w:rPr>
          <w:rFonts w:ascii="Arial" w:eastAsia="Arial" w:hAnsi="Arial" w:cs="Arial"/>
        </w:rPr>
      </w:pPr>
      <w:r>
        <w:rPr>
          <w:rFonts w:ascii="Arial" w:hAnsi="Arial"/>
        </w:rPr>
        <w:t>Обработка зараженной площади с помощью опрыскивателя с функцией точечного опрыскивания. На фото: AMAZONE UF 2002.</w:t>
      </w:r>
    </w:p>
    <w:p w14:paraId="3FFE7271" w14:textId="77777777" w:rsidR="00FF49C4" w:rsidRDefault="00FF49C4" w:rsidP="00FF49C4">
      <w:pPr>
        <w:spacing w:after="120" w:line="360" w:lineRule="auto"/>
        <w:ind w:left="567" w:right="1695"/>
        <w:rPr>
          <w:rFonts w:ascii="Arial" w:eastAsia="Arial" w:hAnsi="Arial" w:cs="Arial"/>
        </w:rPr>
      </w:pPr>
    </w:p>
    <w:p w14:paraId="24846772" w14:textId="77777777" w:rsidR="00FF49C4" w:rsidRDefault="00FF49C4" w:rsidP="00FF49C4">
      <w:pPr>
        <w:spacing w:after="120" w:line="360" w:lineRule="auto"/>
        <w:ind w:left="567" w:right="1695"/>
        <w:rPr>
          <w:rFonts w:ascii="Arial" w:eastAsia="Arial" w:hAnsi="Arial" w:cs="Arial"/>
        </w:rPr>
      </w:pPr>
    </w:p>
    <w:p w14:paraId="1465861B" w14:textId="2A845FF2"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33617DD6" wp14:editId="0F7B57CF">
            <wp:extent cx="4064400" cy="2880000"/>
            <wp:effectExtent l="0" t="0" r="0" b="3175"/>
            <wp:docPr id="50686953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69534" name="Grafik 5068695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ADBE859" w14:textId="7602340C" w:rsidR="00FF49C4" w:rsidRPr="00FF49C4" w:rsidRDefault="00FF49C4" w:rsidP="00FF49C4">
      <w:pPr>
        <w:spacing w:after="120" w:line="360" w:lineRule="auto"/>
        <w:ind w:left="567" w:right="1695"/>
        <w:rPr>
          <w:rFonts w:ascii="Arial" w:eastAsia="Arial" w:hAnsi="Arial" w:cs="Arial"/>
        </w:rPr>
      </w:pPr>
      <w:r>
        <w:rPr>
          <w:rFonts w:ascii="Arial" w:hAnsi="Arial"/>
        </w:rPr>
        <w:t>Подробный вид выборочной обработки щавеля методом точечного опрыскивания.</w:t>
      </w:r>
    </w:p>
    <w:p w14:paraId="26C47716" w14:textId="77777777" w:rsidR="00FF49C4" w:rsidRDefault="00FF49C4" w:rsidP="00FF49C4">
      <w:pPr>
        <w:spacing w:after="120" w:line="360" w:lineRule="auto"/>
        <w:ind w:left="567" w:right="1695"/>
        <w:rPr>
          <w:rFonts w:ascii="Arial" w:eastAsia="Arial" w:hAnsi="Arial" w:cs="Arial"/>
        </w:rPr>
      </w:pPr>
    </w:p>
    <w:p w14:paraId="18C77286" w14:textId="77777777" w:rsidR="00FF49C4" w:rsidRDefault="00FF49C4" w:rsidP="00FF49C4">
      <w:pPr>
        <w:spacing w:after="120" w:line="360" w:lineRule="auto"/>
        <w:ind w:left="567" w:right="1695"/>
        <w:rPr>
          <w:rFonts w:ascii="Arial" w:eastAsia="Arial" w:hAnsi="Arial" w:cs="Arial"/>
        </w:rPr>
      </w:pPr>
    </w:p>
    <w:p w14:paraId="371FC818" w14:textId="6EAB99E5"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83BCD11" wp14:editId="252820B4">
            <wp:extent cx="4064400" cy="2880000"/>
            <wp:effectExtent l="0" t="0" r="0" b="3175"/>
            <wp:docPr id="17300070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07086" name="Grafik 173000708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E134E2F" w14:textId="77777777" w:rsidR="00FF49C4" w:rsidRPr="00FF49C4" w:rsidRDefault="00FF49C4" w:rsidP="00FF49C4">
      <w:pPr>
        <w:spacing w:after="120" w:line="360" w:lineRule="auto"/>
        <w:ind w:left="567" w:right="1695"/>
        <w:rPr>
          <w:rFonts w:ascii="Arial" w:eastAsia="Arial" w:hAnsi="Arial" w:cs="Arial"/>
        </w:rPr>
      </w:pPr>
      <w:r>
        <w:rPr>
          <w:rFonts w:ascii="Arial" w:hAnsi="Arial"/>
        </w:rPr>
        <w:t>AmaTron 4 во время точечной обработки щавеля. Дополнительная иллюстрация обработанной площади (0,86 га).</w:t>
      </w:r>
    </w:p>
    <w:p w14:paraId="04AE2884" w14:textId="77777777" w:rsidR="00FF49C4" w:rsidRDefault="00FF49C4" w:rsidP="00FF49C4">
      <w:pPr>
        <w:spacing w:after="120" w:line="360" w:lineRule="auto"/>
        <w:ind w:left="567" w:right="1695"/>
        <w:rPr>
          <w:rFonts w:ascii="Arial" w:eastAsia="Arial" w:hAnsi="Arial" w:cs="Arial"/>
        </w:rPr>
      </w:pPr>
    </w:p>
    <w:p w14:paraId="515418C8" w14:textId="77777777" w:rsidR="00815FA8" w:rsidRDefault="00815FA8"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106DFA3D" w14:textId="77777777" w:rsidR="00086397" w:rsidRPr="00E12CE4" w:rsidRDefault="00086397" w:rsidP="00086397">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Dreyer SE &amp; Co. KG с головным офисом в 49205 Хасберген-Гасте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 Продуктовая линейка включает почвообрабатывающие орудия, сеялки, распределители удобрений, орудия для защиты растений и пропашную технику.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r>
        <w:fldChar w:fldCharType="begin"/>
      </w:r>
      <w:r>
        <w:instrText>HYPERLINK "http://www.amazone.net/ru"</w:instrText>
      </w:r>
      <w:r>
        <w:fldChar w:fldCharType="separate"/>
      </w:r>
      <w:r w:rsidRPr="00006CD6">
        <w:rPr>
          <w:rStyle w:val="Hyperlink"/>
          <w:rFonts w:ascii="Arial" w:hAnsi="Arial"/>
          <w:sz w:val="20"/>
        </w:rPr>
        <w:t>www.amazone.</w:t>
      </w:r>
      <w:proofErr w:type="spellStart"/>
      <w:r w:rsidRPr="00006CD6">
        <w:rPr>
          <w:rStyle w:val="Hyperlink"/>
          <w:rFonts w:ascii="Arial" w:hAnsi="Arial"/>
          <w:sz w:val="20"/>
          <w:lang w:val="de-DE"/>
        </w:rPr>
        <w:t>net</w:t>
      </w:r>
      <w:proofErr w:type="spellEnd"/>
      <w:r w:rsidRPr="00006CD6">
        <w:rPr>
          <w:rStyle w:val="Hyperlink"/>
          <w:rFonts w:ascii="Arial" w:hAnsi="Arial"/>
          <w:sz w:val="20"/>
          <w:lang w:val="de-DE"/>
        </w:rPr>
        <w:t>/</w:t>
      </w:r>
      <w:proofErr w:type="spellStart"/>
      <w:r w:rsidRPr="00006CD6">
        <w:rPr>
          <w:rStyle w:val="Hyperlink"/>
          <w:rFonts w:ascii="Arial" w:hAnsi="Arial"/>
          <w:sz w:val="20"/>
          <w:lang w:val="de-DE"/>
        </w:rPr>
        <w:t>ru</w:t>
      </w:r>
      <w:proofErr w:type="spellEnd"/>
      <w:r>
        <w:fldChar w:fldCharType="end"/>
      </w:r>
    </w:p>
    <w:p w14:paraId="6625AC7B" w14:textId="77777777" w:rsidR="00086397" w:rsidRDefault="00086397" w:rsidP="00086397">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4E56DEF9" wp14:editId="32DDF7AC">
            <wp:extent cx="241300" cy="241300"/>
            <wp:effectExtent l="0" t="0" r="6350" b="6350"/>
            <wp:docPr id="13" name="Grafik 13" descr="Ein Bild, das Symbol enthält.&#10;&#10;KI-generierte Inhalte können fehlerhaft sein.">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Symbol enthält.&#10;&#10;KI-generierte Inhalte können fehlerhaft sein.">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41DCB7D" wp14:editId="08735495">
            <wp:extent cx="241300" cy="241300"/>
            <wp:effectExtent l="0" t="0" r="6350" b="6350"/>
            <wp:docPr id="12" name="Grafik 12" descr="Ein Bild, das Kreis, Design enthält.&#10;&#10;KI-generierte Inhalte können fehlerhaft sein.">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Kreis, Design enthält.&#10;&#10;KI-generierte Inhalte können fehlerhaft sein.">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5CB6319" wp14:editId="4B809C77">
            <wp:extent cx="241300" cy="241300"/>
            <wp:effectExtent l="0" t="0" r="6350" b="6350"/>
            <wp:docPr id="11" name="Grafik 11" descr="Ein Bild, das Kreis, Design enthält.&#10;&#10;KI-generierte Inhalte können fehlerhaft sein.">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Ein Bild, das Kreis, Design enthält.&#10;&#10;KI-generierte Inhalte können fehlerhaft sein.">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1D27000" wp14:editId="019FCEDC">
            <wp:extent cx="241300" cy="241300"/>
            <wp:effectExtent l="0" t="0" r="6350" b="6350"/>
            <wp:docPr id="10" name="Grafik 10" descr="Ein Bild, das Symbol, Kreis enthält.&#10;&#10;KI-generierte Inhalte können fehlerhaft sein.">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ymbol, Kreis enthält.&#10;&#10;KI-generierte Inhalte können fehlerhaft sein.">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48171A0" wp14:editId="6ACF6EE3">
            <wp:extent cx="241300" cy="241300"/>
            <wp:effectExtent l="0" t="0" r="6350" b="6350"/>
            <wp:docPr id="7" name="Grafik 7" descr="Ein Bild, das Text, Symbol, Design enthält.&#10;&#10;KI-generierte Inhalte können fehlerhaft sein.">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Ein Bild, das Text, Symbol, Design enthält.&#10;&#10;KI-generierte Inhalte können fehlerhaft sein.">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749B99F3" w:rsidR="00A46482" w:rsidRPr="00086397" w:rsidRDefault="00A46482" w:rsidP="00086397">
      <w:pPr>
        <w:tabs>
          <w:tab w:val="left" w:pos="3550"/>
        </w:tabs>
        <w:spacing w:line="360" w:lineRule="auto"/>
        <w:ind w:right="1128"/>
        <w:rPr>
          <w:rFonts w:ascii="Arial" w:hAnsi="Arial" w:cs="Arial"/>
          <w:bCs/>
          <w:color w:val="808080" w:themeColor="background1" w:themeShade="80"/>
          <w:sz w:val="20"/>
          <w:szCs w:val="20"/>
          <w:lang w:val="de-DE"/>
        </w:rPr>
      </w:pPr>
    </w:p>
    <w:sectPr w:rsidR="00A46482" w:rsidRPr="00086397"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347FB" w14:textId="77777777" w:rsidR="00D60E2A" w:rsidRDefault="00D60E2A">
      <w:r>
        <w:separator/>
      </w:r>
    </w:p>
  </w:endnote>
  <w:endnote w:type="continuationSeparator" w:id="0">
    <w:p w14:paraId="04738761" w14:textId="77777777" w:rsidR="00D60E2A" w:rsidRDefault="00D60E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Телефон +49 (0)5405 501-0 ∙ amazone@amazone.de ∙ www.amazone.net/ru</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3C37F7" w14:textId="77777777" w:rsidR="00D60E2A" w:rsidRDefault="00D60E2A">
      <w:r>
        <w:separator/>
      </w:r>
    </w:p>
  </w:footnote>
  <w:footnote w:type="continuationSeparator" w:id="0">
    <w:p w14:paraId="1897BCC3" w14:textId="77777777" w:rsidR="00D60E2A" w:rsidRDefault="00D60E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3501AB4"/>
    <w:multiLevelType w:val="hybridMultilevel"/>
    <w:tmpl w:val="A7E23B02"/>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6" w15:restartNumberingAfterBreak="0">
    <w:nsid w:val="474260E2"/>
    <w:multiLevelType w:val="hybridMultilevel"/>
    <w:tmpl w:val="02BE8FD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1"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31"/>
  </w:num>
  <w:num w:numId="8" w16cid:durableId="33434184">
    <w:abstractNumId w:val="24"/>
  </w:num>
  <w:num w:numId="9" w16cid:durableId="274018629">
    <w:abstractNumId w:val="29"/>
  </w:num>
  <w:num w:numId="10" w16cid:durableId="1622229493">
    <w:abstractNumId w:val="30"/>
  </w:num>
  <w:num w:numId="11" w16cid:durableId="280575959">
    <w:abstractNumId w:val="27"/>
  </w:num>
  <w:num w:numId="12" w16cid:durableId="169492611">
    <w:abstractNumId w:val="33"/>
  </w:num>
  <w:num w:numId="13" w16cid:durableId="711804392">
    <w:abstractNumId w:val="34"/>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5"/>
  </w:num>
  <w:num w:numId="19" w16cid:durableId="595864091">
    <w:abstractNumId w:val="14"/>
  </w:num>
  <w:num w:numId="20" w16cid:durableId="2085832550">
    <w:abstractNumId w:val="28"/>
  </w:num>
  <w:num w:numId="21" w16cid:durableId="1235970655">
    <w:abstractNumId w:val="0"/>
  </w:num>
  <w:num w:numId="22" w16cid:durableId="454446071">
    <w:abstractNumId w:val="13"/>
  </w:num>
  <w:num w:numId="23" w16cid:durableId="1538158893">
    <w:abstractNumId w:val="5"/>
  </w:num>
  <w:num w:numId="24" w16cid:durableId="1042562684">
    <w:abstractNumId w:val="32"/>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 w:numId="35" w16cid:durableId="1442147673">
    <w:abstractNumId w:val="26"/>
  </w:num>
  <w:num w:numId="36" w16cid:durableId="201818681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397"/>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1F4B"/>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2D3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6993"/>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5F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0E2A"/>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15F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9C4"/>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10.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1.jpeg"/><Relationship Id="rId28" Type="http://schemas.openxmlformats.org/officeDocument/2006/relationships/hyperlink" Target="https://www.xing.com/company/amazone" TargetMode="External"/><Relationship Id="rId10" Type="http://schemas.openxmlformats.org/officeDocument/2006/relationships/image" Target="media/image3.jp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1076</Words>
  <Characters>6780</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7841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2025-08-18T12:19:00Z</dcterms:created>
  <dcterms:modified xsi:type="dcterms:W3CDTF">2025-08-29T06:58:00Z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