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574EBC" w14:textId="77777777" w:rsidR="0039244D" w:rsidRPr="0039244D" w:rsidRDefault="0039244D" w:rsidP="0039244D">
      <w:pPr>
        <w:spacing w:line="360" w:lineRule="auto"/>
        <w:ind w:left="567" w:right="1695"/>
        <w:rPr>
          <w:rFonts w:ascii="Arial" w:hAnsi="Arial" w:cs="Arial"/>
          <w:b/>
          <w:bCs/>
          <w:sz w:val="28"/>
          <w:szCs w:val="28"/>
        </w:rPr>
      </w:pPr>
      <w:proofErr w:type="spellStart"/>
      <w:r>
        <w:rPr>
          <w:rFonts w:ascii="Arial" w:hAnsi="Arial"/>
          <w:b/>
          <w:sz w:val="28"/>
        </w:rPr>
        <w:t>Pantera</w:t>
      </w:r>
      <w:proofErr w:type="spellEnd"/>
      <w:r>
        <w:rPr>
          <w:rFonts w:ascii="Arial" w:hAnsi="Arial"/>
          <w:b/>
          <w:sz w:val="28"/>
        </w:rPr>
        <w:t xml:space="preserve"> 7004, polyvalence renforcée ! </w:t>
      </w:r>
    </w:p>
    <w:p w14:paraId="309F85C9" w14:textId="77777777" w:rsidR="0039244D" w:rsidRPr="0039244D" w:rsidRDefault="0039244D" w:rsidP="0039244D">
      <w:pPr>
        <w:spacing w:line="360" w:lineRule="auto"/>
        <w:ind w:left="567" w:right="1695"/>
        <w:rPr>
          <w:rFonts w:ascii="Arial" w:hAnsi="Arial" w:cs="Arial"/>
          <w:b/>
          <w:bCs/>
        </w:rPr>
      </w:pPr>
      <w:r>
        <w:rPr>
          <w:rFonts w:ascii="Arial" w:hAnsi="Arial"/>
          <w:b/>
        </w:rPr>
        <w:t xml:space="preserve">Nouveau train roulant W, </w:t>
      </w:r>
      <w:proofErr w:type="spellStart"/>
      <w:r>
        <w:rPr>
          <w:rFonts w:ascii="Arial" w:hAnsi="Arial"/>
          <w:b/>
        </w:rPr>
        <w:t>DirectInject</w:t>
      </w:r>
      <w:proofErr w:type="spellEnd"/>
      <w:r>
        <w:rPr>
          <w:rFonts w:ascii="Arial" w:hAnsi="Arial"/>
          <w:b/>
        </w:rPr>
        <w:t xml:space="preserve"> et système de guidage Trimble</w:t>
      </w:r>
    </w:p>
    <w:p w14:paraId="77523A59" w14:textId="77777777" w:rsidR="00070765" w:rsidRDefault="00070765" w:rsidP="00330541">
      <w:pPr>
        <w:spacing w:line="360" w:lineRule="auto"/>
        <w:ind w:left="567" w:right="1695"/>
        <w:rPr>
          <w:rFonts w:ascii="Arial" w:hAnsi="Arial" w:cs="Arial"/>
        </w:rPr>
      </w:pPr>
    </w:p>
    <w:p w14:paraId="1946278B"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Le pulvérisateur automoteur </w:t>
      </w:r>
      <w:proofErr w:type="spellStart"/>
      <w:r>
        <w:rPr>
          <w:rFonts w:ascii="Arial" w:hAnsi="Arial"/>
        </w:rPr>
        <w:t>Pantera</w:t>
      </w:r>
      <w:proofErr w:type="spellEnd"/>
      <w:r>
        <w:rPr>
          <w:rFonts w:ascii="Arial" w:hAnsi="Arial"/>
        </w:rPr>
        <w:t xml:space="preserve"> 7004 présenté au dernier salon </w:t>
      </w:r>
      <w:proofErr w:type="spellStart"/>
      <w:r>
        <w:rPr>
          <w:rFonts w:ascii="Arial" w:hAnsi="Arial"/>
        </w:rPr>
        <w:t>Agritechnica</w:t>
      </w:r>
      <w:proofErr w:type="spellEnd"/>
      <w:r>
        <w:rPr>
          <w:rFonts w:ascii="Arial" w:hAnsi="Arial"/>
        </w:rPr>
        <w:t xml:space="preserve"> impressionne par ses performances élevées, par ses excellentes caractéristiques de conduite, obtenues grâce au concept particulier du train roulant. Les clients apprécient également le pilotage intuitif et le confort de la machine. </w:t>
      </w:r>
    </w:p>
    <w:p w14:paraId="3367BC1D" w14:textId="77777777" w:rsidR="0039244D" w:rsidRPr="0039244D" w:rsidRDefault="0039244D" w:rsidP="0039244D">
      <w:pPr>
        <w:spacing w:after="120" w:line="360" w:lineRule="auto"/>
        <w:ind w:left="567" w:right="1695"/>
        <w:rPr>
          <w:rFonts w:ascii="Arial" w:eastAsia="Arial" w:hAnsi="Arial" w:cs="Arial"/>
        </w:rPr>
      </w:pPr>
    </w:p>
    <w:p w14:paraId="2DA87C5A"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Avec les nouvelles options disponibles, à savoir le train roulant W et le système de guidage Trimble, la machine peut encore être mieux répondre aux besoins des clients. Grâce à l’injection directe </w:t>
      </w:r>
      <w:proofErr w:type="spellStart"/>
      <w:r>
        <w:rPr>
          <w:rFonts w:ascii="Arial" w:hAnsi="Arial"/>
        </w:rPr>
        <w:t>DirectInject</w:t>
      </w:r>
      <w:proofErr w:type="spellEnd"/>
      <w:r>
        <w:rPr>
          <w:rFonts w:ascii="Arial" w:hAnsi="Arial"/>
        </w:rPr>
        <w:t xml:space="preserve"> en option, le chantier de protection phytosanitaire est géré de façon encore plus efficace et flexible.</w:t>
      </w:r>
    </w:p>
    <w:p w14:paraId="33B75E0A" w14:textId="77777777" w:rsidR="0039244D" w:rsidRPr="0039244D" w:rsidRDefault="0039244D" w:rsidP="0039244D">
      <w:pPr>
        <w:spacing w:after="120" w:line="360" w:lineRule="auto"/>
        <w:ind w:left="567" w:right="1695"/>
        <w:rPr>
          <w:rFonts w:ascii="Arial" w:eastAsia="Arial" w:hAnsi="Arial" w:cs="Arial"/>
        </w:rPr>
      </w:pPr>
    </w:p>
    <w:p w14:paraId="1C9F7B34" w14:textId="77777777" w:rsidR="0039244D" w:rsidRPr="0039244D" w:rsidRDefault="0039244D" w:rsidP="0039244D">
      <w:pPr>
        <w:spacing w:after="120" w:line="360" w:lineRule="auto"/>
        <w:ind w:left="567" w:right="1695"/>
        <w:rPr>
          <w:rFonts w:ascii="Arial" w:eastAsia="Arial" w:hAnsi="Arial" w:cs="Arial"/>
          <w:b/>
          <w:bCs/>
        </w:rPr>
      </w:pPr>
      <w:r>
        <w:rPr>
          <w:rFonts w:ascii="Arial" w:hAnsi="Arial"/>
          <w:b/>
        </w:rPr>
        <w:t>Train roulant W</w:t>
      </w:r>
    </w:p>
    <w:p w14:paraId="2D463E00"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En plus de la version standard avec voie variable hydrauliquement de 2,00 m à 2,75 m, La version W du </w:t>
      </w:r>
      <w:proofErr w:type="spellStart"/>
      <w:r>
        <w:rPr>
          <w:rFonts w:ascii="Arial" w:hAnsi="Arial"/>
        </w:rPr>
        <w:t>Pantera</w:t>
      </w:r>
      <w:proofErr w:type="spellEnd"/>
      <w:r>
        <w:rPr>
          <w:rFonts w:ascii="Arial" w:hAnsi="Arial"/>
        </w:rPr>
        <w:t xml:space="preserve"> 7004 offre une plage de réglage de la voie de 2,25 m à 3,00 m. </w:t>
      </w:r>
    </w:p>
    <w:p w14:paraId="7AC5641B" w14:textId="77777777" w:rsidR="0039244D" w:rsidRPr="0039244D" w:rsidRDefault="0039244D" w:rsidP="0039244D">
      <w:pPr>
        <w:spacing w:after="120" w:line="360" w:lineRule="auto"/>
        <w:ind w:left="567" w:right="1695"/>
        <w:rPr>
          <w:rFonts w:ascii="Arial" w:eastAsia="Arial" w:hAnsi="Arial" w:cs="Arial"/>
        </w:rPr>
      </w:pPr>
    </w:p>
    <w:p w14:paraId="019E6569"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Deux valeurs de voies importantes sont ainsi couvertes grâce à cette large plage de réglage. D’une part la voie de 2,25 m de plus en plus courante pour les céréales, le maïs et les pommes de terre avec passages jalonnés. D’autre part la voie de 3,00 m pour les pommes de terre sans </w:t>
      </w:r>
      <w:proofErr w:type="spellStart"/>
      <w:r>
        <w:rPr>
          <w:rFonts w:ascii="Arial" w:hAnsi="Arial"/>
        </w:rPr>
        <w:t>jalonnage</w:t>
      </w:r>
      <w:proofErr w:type="spellEnd"/>
      <w:r>
        <w:rPr>
          <w:rFonts w:ascii="Arial" w:hAnsi="Arial"/>
        </w:rPr>
        <w:t>, les cultures spéciales et par exemple les cultures en agriculture à circulation contrôlée (CTF).</w:t>
      </w:r>
    </w:p>
    <w:p w14:paraId="34A51B87" w14:textId="77777777" w:rsidR="0039244D" w:rsidRPr="0039244D" w:rsidRDefault="0039244D" w:rsidP="0039244D">
      <w:pPr>
        <w:spacing w:after="120" w:line="360" w:lineRule="auto"/>
        <w:ind w:left="567" w:right="1695"/>
        <w:rPr>
          <w:rFonts w:ascii="Arial" w:eastAsia="Arial" w:hAnsi="Arial" w:cs="Arial"/>
        </w:rPr>
      </w:pPr>
    </w:p>
    <w:p w14:paraId="3D1DCE3B"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La technologie unique du train roulant du </w:t>
      </w:r>
      <w:proofErr w:type="spellStart"/>
      <w:r>
        <w:rPr>
          <w:rFonts w:ascii="Arial" w:hAnsi="Arial"/>
        </w:rPr>
        <w:t>Pantera</w:t>
      </w:r>
      <w:proofErr w:type="spellEnd"/>
      <w:r>
        <w:rPr>
          <w:rFonts w:ascii="Arial" w:hAnsi="Arial"/>
        </w:rPr>
        <w:t xml:space="preserve"> apporte des avantages exceptionnels. La construction du train roulant, avec roues indépendantes et bras longitudinaux, réduit considérablement le poids par rapport à l’architecture courante, tout en étant particulièrement facile d’entretien, grâce au nombre </w:t>
      </w:r>
      <w:r>
        <w:rPr>
          <w:rFonts w:ascii="Arial" w:hAnsi="Arial"/>
        </w:rPr>
        <w:lastRenderedPageBreak/>
        <w:t xml:space="preserve">réduit de points de pivotement. La suspension hydropneumatique est pilotée de façon adaptative, afin d’ajuster de manière optimale le comportement du train roulant en fonction de la situation de conduite. Ce pilotage intelligent offre une tenue de route et un confort de conduite exceptionnels. </w:t>
      </w:r>
    </w:p>
    <w:p w14:paraId="3B7D77A7" w14:textId="77777777" w:rsidR="0039244D" w:rsidRPr="0039244D" w:rsidRDefault="0039244D" w:rsidP="0039244D">
      <w:pPr>
        <w:spacing w:after="120" w:line="360" w:lineRule="auto"/>
        <w:ind w:left="567" w:right="1695"/>
        <w:rPr>
          <w:rFonts w:ascii="Arial" w:eastAsia="Arial" w:hAnsi="Arial" w:cs="Arial"/>
        </w:rPr>
      </w:pPr>
    </w:p>
    <w:p w14:paraId="5764051A"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La fonction voies décalées entre l’avant et l’arrière préserve le sol en conditions humides en évitant les passages roues dans roues. De plus, la correction automatique de dévers apporte un avantage indéniable. La machine est automatiquement maintenue à l’horizontale jusqu’à une certaine inclinaison. Associée au centre de gravité déjà bas de la machine et au train roulant à suspension hydropneumatique, cette caractéristique assure une stabilité particulièrement élevée dans les dévers. </w:t>
      </w:r>
    </w:p>
    <w:p w14:paraId="3324A291" w14:textId="77777777" w:rsidR="0039244D" w:rsidRPr="0039244D" w:rsidRDefault="0039244D" w:rsidP="0039244D">
      <w:pPr>
        <w:spacing w:after="120" w:line="360" w:lineRule="auto"/>
        <w:ind w:left="567" w:right="1695"/>
        <w:rPr>
          <w:rFonts w:ascii="Arial" w:eastAsia="Arial" w:hAnsi="Arial" w:cs="Arial"/>
        </w:rPr>
      </w:pPr>
    </w:p>
    <w:p w14:paraId="1F7D72A3" w14:textId="77777777" w:rsidR="0039244D" w:rsidRPr="0039244D" w:rsidRDefault="0039244D" w:rsidP="0039244D">
      <w:pPr>
        <w:spacing w:after="120" w:line="360" w:lineRule="auto"/>
        <w:ind w:left="567" w:right="1695"/>
        <w:rPr>
          <w:rFonts w:ascii="Arial" w:eastAsia="Arial" w:hAnsi="Arial" w:cs="Arial"/>
          <w:b/>
          <w:bCs/>
        </w:rPr>
      </w:pPr>
      <w:proofErr w:type="spellStart"/>
      <w:r>
        <w:rPr>
          <w:rFonts w:ascii="Arial" w:hAnsi="Arial"/>
          <w:b/>
        </w:rPr>
        <w:t>DirectInject</w:t>
      </w:r>
      <w:proofErr w:type="spellEnd"/>
    </w:p>
    <w:p w14:paraId="2AA3A883"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Sur les pulvérisateurs de la gamme UX 01, </w:t>
      </w:r>
      <w:proofErr w:type="spellStart"/>
      <w:r>
        <w:rPr>
          <w:rFonts w:ascii="Arial" w:hAnsi="Arial"/>
        </w:rPr>
        <w:t>DirectInject</w:t>
      </w:r>
      <w:proofErr w:type="spellEnd"/>
      <w:r>
        <w:rPr>
          <w:rFonts w:ascii="Arial" w:hAnsi="Arial"/>
        </w:rPr>
        <w:t xml:space="preserve"> a déjà été commercialisé des centaines de fois. Les utilisateurs apprécient la polyvalence supplémentaire lors des traitements, ainsi que le pilotage très facile du système. L’ensemble de la gamme </w:t>
      </w:r>
      <w:proofErr w:type="spellStart"/>
      <w:r>
        <w:rPr>
          <w:rFonts w:ascii="Arial" w:hAnsi="Arial"/>
        </w:rPr>
        <w:t>Pantera</w:t>
      </w:r>
      <w:proofErr w:type="spellEnd"/>
      <w:r>
        <w:rPr>
          <w:rFonts w:ascii="Arial" w:hAnsi="Arial"/>
        </w:rPr>
        <w:t xml:space="preserve"> peut désormais être équipée avec </w:t>
      </w:r>
      <w:proofErr w:type="spellStart"/>
      <w:r>
        <w:rPr>
          <w:rFonts w:ascii="Arial" w:hAnsi="Arial"/>
        </w:rPr>
        <w:t>DirectInject</w:t>
      </w:r>
      <w:proofErr w:type="spellEnd"/>
      <w:r>
        <w:rPr>
          <w:rFonts w:ascii="Arial" w:hAnsi="Arial"/>
        </w:rPr>
        <w:t xml:space="preserve">, afin d’incorporer différents produits de façon rapide et flexible en fonction des besoins. </w:t>
      </w:r>
    </w:p>
    <w:p w14:paraId="63848680" w14:textId="77777777" w:rsidR="0039244D" w:rsidRPr="0039244D" w:rsidRDefault="0039244D" w:rsidP="0039244D">
      <w:pPr>
        <w:spacing w:after="120" w:line="360" w:lineRule="auto"/>
        <w:ind w:left="567" w:right="1695"/>
        <w:rPr>
          <w:rFonts w:ascii="Arial" w:eastAsia="Arial" w:hAnsi="Arial" w:cs="Arial"/>
        </w:rPr>
      </w:pPr>
    </w:p>
    <w:p w14:paraId="6E28BF54"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Durant l’application, un produit supplémentaire peut être ajouté à la bouillie principale par simple appui sur un bouton. </w:t>
      </w:r>
      <w:proofErr w:type="spellStart"/>
      <w:r>
        <w:rPr>
          <w:rFonts w:ascii="Arial" w:hAnsi="Arial"/>
        </w:rPr>
        <w:t>DirectInject</w:t>
      </w:r>
      <w:proofErr w:type="spellEnd"/>
      <w:r>
        <w:rPr>
          <w:rFonts w:ascii="Arial" w:hAnsi="Arial"/>
        </w:rPr>
        <w:t xml:space="preserve"> se démarque par sa distance de réaction courte, de l’ordre de 30 à 50 m. Ce temps de réaction rapide est indispensable en pratique pour réussir un traitement modulé par zones. Le système rend l’utilisation des matières actives plus souple au quotidien. Par exemple le traitement en bordure de champ ou dans certaines zones de la parcelle peut être différent de celui dans le reste du champ aussi bien en termes de composition de la bouillie que de dosage du produit ajouté à la bouillie de base. </w:t>
      </w:r>
    </w:p>
    <w:p w14:paraId="2C40E9C2" w14:textId="77777777" w:rsidR="0039244D" w:rsidRPr="0039244D" w:rsidRDefault="0039244D" w:rsidP="0039244D">
      <w:pPr>
        <w:spacing w:after="120" w:line="360" w:lineRule="auto"/>
        <w:ind w:left="567" w:right="1695"/>
        <w:rPr>
          <w:rFonts w:ascii="Arial" w:eastAsia="Arial" w:hAnsi="Arial" w:cs="Arial"/>
        </w:rPr>
      </w:pPr>
    </w:p>
    <w:p w14:paraId="51549510"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Le nettoyage est réalisé facilement depuis la cabine grâce à l’intégration totale du système et de sa commande dans le circuit de bouillie. </w:t>
      </w:r>
    </w:p>
    <w:p w14:paraId="34E75BA2" w14:textId="77777777" w:rsidR="0039244D" w:rsidRPr="0039244D" w:rsidRDefault="0039244D" w:rsidP="0039244D">
      <w:pPr>
        <w:spacing w:after="120" w:line="360" w:lineRule="auto"/>
        <w:ind w:left="567" w:right="1695"/>
        <w:rPr>
          <w:rFonts w:ascii="Arial" w:eastAsia="Arial" w:hAnsi="Arial" w:cs="Arial"/>
        </w:rPr>
      </w:pPr>
    </w:p>
    <w:p w14:paraId="2AB32102" w14:textId="77777777" w:rsidR="0039244D" w:rsidRPr="0039244D" w:rsidRDefault="0039244D" w:rsidP="0039244D">
      <w:pPr>
        <w:spacing w:after="120" w:line="360" w:lineRule="auto"/>
        <w:ind w:left="567" w:right="1695"/>
        <w:rPr>
          <w:rFonts w:ascii="Arial" w:eastAsia="Arial" w:hAnsi="Arial" w:cs="Arial"/>
        </w:rPr>
      </w:pPr>
      <w:r>
        <w:rPr>
          <w:rFonts w:ascii="Arial" w:hAnsi="Arial"/>
          <w:b/>
        </w:rPr>
        <w:t>Système d’autoguidage RTK Trimble</w:t>
      </w:r>
    </w:p>
    <w:p w14:paraId="35060452"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Un système de guidage fourni par la société Trimble peut désormais équiper le </w:t>
      </w:r>
      <w:proofErr w:type="spellStart"/>
      <w:r>
        <w:rPr>
          <w:rFonts w:ascii="Arial" w:hAnsi="Arial"/>
        </w:rPr>
        <w:t>Pantera</w:t>
      </w:r>
      <w:proofErr w:type="spellEnd"/>
      <w:r>
        <w:rPr>
          <w:rFonts w:ascii="Arial" w:hAnsi="Arial"/>
        </w:rPr>
        <w:t xml:space="preserve"> départ usine et assurer le guidage automatique. Le client a le choix entre le système de guidage TOPCON déjà connu et également disponible départ usine et un deuxième fournisseur, afin d’équiper la machine au mieux, en fonction des besoins de chaque exploitation.</w:t>
      </w:r>
    </w:p>
    <w:p w14:paraId="42E09947" w14:textId="77777777" w:rsidR="0039244D" w:rsidRPr="0039244D" w:rsidRDefault="0039244D" w:rsidP="0039244D">
      <w:pPr>
        <w:spacing w:after="120" w:line="360" w:lineRule="auto"/>
        <w:ind w:left="567" w:right="1695"/>
        <w:rPr>
          <w:rFonts w:ascii="Arial" w:eastAsia="Arial" w:hAnsi="Arial" w:cs="Arial"/>
        </w:rPr>
      </w:pPr>
    </w:p>
    <w:p w14:paraId="3D650A51"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L’autoguidage Trimble comprend le terminal ISOBUS "GFX 1260", qui sert également sur le </w:t>
      </w:r>
      <w:proofErr w:type="spellStart"/>
      <w:r>
        <w:rPr>
          <w:rFonts w:ascii="Arial" w:hAnsi="Arial"/>
        </w:rPr>
        <w:t>Pantera</w:t>
      </w:r>
      <w:proofErr w:type="spellEnd"/>
      <w:r>
        <w:rPr>
          <w:rFonts w:ascii="Arial" w:hAnsi="Arial"/>
        </w:rPr>
        <w:t xml:space="preserve"> de terminal utilisateur pour le pulvérisateur, et le récepteur GPS "NAV-900". </w:t>
      </w:r>
    </w:p>
    <w:p w14:paraId="684990E0" w14:textId="77777777" w:rsidR="0039244D" w:rsidRPr="0039244D" w:rsidRDefault="0039244D" w:rsidP="0039244D">
      <w:pPr>
        <w:spacing w:after="120" w:line="360" w:lineRule="auto"/>
        <w:ind w:left="567" w:right="1695"/>
        <w:rPr>
          <w:rFonts w:ascii="Arial" w:eastAsia="Arial" w:hAnsi="Arial" w:cs="Arial"/>
        </w:rPr>
      </w:pPr>
    </w:p>
    <w:p w14:paraId="6947DE34"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Le système peut être prééquipé pour le signal </w:t>
      </w:r>
      <w:proofErr w:type="spellStart"/>
      <w:r>
        <w:rPr>
          <w:rFonts w:ascii="Arial" w:hAnsi="Arial"/>
        </w:rPr>
        <w:t>Egnos</w:t>
      </w:r>
      <w:proofErr w:type="spellEnd"/>
      <w:r>
        <w:rPr>
          <w:rFonts w:ascii="Arial" w:hAnsi="Arial"/>
        </w:rPr>
        <w:t xml:space="preserve"> ou pour la précision RTK. Le client dispose de toutes les fonctionnalités du terminal Trimble, y compris toutes les activations nécessaires. Parmi celles-ci, on peut citer par exemple </w:t>
      </w:r>
      <w:proofErr w:type="spellStart"/>
      <w:r>
        <w:rPr>
          <w:rFonts w:ascii="Arial" w:hAnsi="Arial"/>
        </w:rPr>
        <w:t>VariableRateControl</w:t>
      </w:r>
      <w:proofErr w:type="spellEnd"/>
      <w:r>
        <w:rPr>
          <w:rFonts w:ascii="Arial" w:hAnsi="Arial"/>
        </w:rPr>
        <w:t xml:space="preserve"> pour la modulation intra-parcellaire de la dose ou Section Control pour l’utilisation de la coupure de buse à buse et jusqu’à 96 tronçons. Une gestion à distance des tâches est aussi possible, de même que la télésurveillance de la machine grâce à l’utilisation du logiciel Trimble Ag.</w:t>
      </w:r>
    </w:p>
    <w:p w14:paraId="30819898" w14:textId="2E715712" w:rsidR="00EC4616" w:rsidRDefault="00EC4616">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5928F60" w14:textId="0BC1D335" w:rsidR="0039244D" w:rsidRPr="0039244D" w:rsidRDefault="0039244D" w:rsidP="0039244D">
      <w:pPr>
        <w:pStyle w:val="Listenabsatz"/>
        <w:numPr>
          <w:ilvl w:val="0"/>
          <w:numId w:val="12"/>
        </w:numPr>
        <w:spacing w:after="120" w:line="360" w:lineRule="auto"/>
        <w:ind w:right="1695"/>
        <w:rPr>
          <w:rFonts w:ascii="Arial" w:eastAsia="Arial" w:hAnsi="Arial" w:cs="Arial"/>
        </w:rPr>
      </w:pPr>
      <w:r>
        <w:rPr>
          <w:rFonts w:ascii="Arial" w:hAnsi="Arial"/>
        </w:rPr>
        <w:t>Polyvalence élevée pour différents systèmes de culture et réglage continu de la voie de 2,25 m à 3,00 m</w:t>
      </w:r>
    </w:p>
    <w:p w14:paraId="7293388E" w14:textId="31D7E91A" w:rsidR="0039244D" w:rsidRPr="0039244D" w:rsidRDefault="0039244D" w:rsidP="0039244D">
      <w:pPr>
        <w:pStyle w:val="Listenabsatz"/>
        <w:numPr>
          <w:ilvl w:val="0"/>
          <w:numId w:val="12"/>
        </w:numPr>
        <w:spacing w:after="120" w:line="360" w:lineRule="auto"/>
        <w:ind w:right="1695"/>
        <w:rPr>
          <w:rFonts w:ascii="Arial" w:eastAsia="Arial" w:hAnsi="Arial" w:cs="Arial"/>
        </w:rPr>
      </w:pPr>
      <w:r>
        <w:rPr>
          <w:rFonts w:ascii="Arial" w:hAnsi="Arial"/>
        </w:rPr>
        <w:t>Technologie intelligente de train roulant pour un confort de conduite maximal, une usure minimale et un faible poids mort</w:t>
      </w:r>
    </w:p>
    <w:p w14:paraId="14ED81E5" w14:textId="57C52223" w:rsidR="0039244D" w:rsidRPr="0039244D" w:rsidRDefault="0039244D" w:rsidP="0039244D">
      <w:pPr>
        <w:pStyle w:val="Listenabsatz"/>
        <w:numPr>
          <w:ilvl w:val="0"/>
          <w:numId w:val="12"/>
        </w:numPr>
        <w:spacing w:after="120" w:line="360" w:lineRule="auto"/>
        <w:ind w:right="1695"/>
        <w:rPr>
          <w:rFonts w:ascii="Arial" w:eastAsia="Arial" w:hAnsi="Arial" w:cs="Arial"/>
        </w:rPr>
      </w:pPr>
      <w:r>
        <w:rPr>
          <w:rFonts w:ascii="Arial" w:hAnsi="Arial"/>
        </w:rPr>
        <w:t xml:space="preserve">Nette augmentation de la flexibilité avec gain de temps de travail et de produit phytosanitaire grâce au système d’injection directe </w:t>
      </w:r>
      <w:proofErr w:type="spellStart"/>
      <w:r>
        <w:rPr>
          <w:rFonts w:ascii="Arial" w:hAnsi="Arial"/>
        </w:rPr>
        <w:t>DirectInject</w:t>
      </w:r>
      <w:proofErr w:type="spellEnd"/>
      <w:r>
        <w:rPr>
          <w:rFonts w:ascii="Arial" w:hAnsi="Arial"/>
        </w:rPr>
        <w:t xml:space="preserve"> </w:t>
      </w:r>
    </w:p>
    <w:p w14:paraId="769CEDA7" w14:textId="381B8248" w:rsidR="0039244D" w:rsidRPr="0039244D" w:rsidRDefault="0039244D" w:rsidP="0039244D">
      <w:pPr>
        <w:pStyle w:val="Listenabsatz"/>
        <w:numPr>
          <w:ilvl w:val="0"/>
          <w:numId w:val="12"/>
        </w:numPr>
        <w:spacing w:after="120" w:line="360" w:lineRule="auto"/>
        <w:ind w:right="1695"/>
        <w:rPr>
          <w:rFonts w:ascii="Arial" w:eastAsia="Arial" w:hAnsi="Arial" w:cs="Arial"/>
        </w:rPr>
      </w:pPr>
      <w:r>
        <w:rPr>
          <w:rFonts w:ascii="Arial" w:hAnsi="Arial"/>
        </w:rPr>
        <w:t>Précision de guidage avec l’autoguidage RTK – adapté aux caractéristiques individuelles de l'exploitation</w:t>
      </w:r>
    </w:p>
    <w:p w14:paraId="32587084" w14:textId="77777777" w:rsidR="00532DA0" w:rsidRDefault="00532DA0" w:rsidP="00F4316E">
      <w:pPr>
        <w:spacing w:after="120" w:line="360" w:lineRule="auto"/>
        <w:ind w:left="567" w:right="1695"/>
        <w:rPr>
          <w:rFonts w:ascii="Arial" w:eastAsia="Arial" w:hAnsi="Arial" w:cs="Arial"/>
        </w:rPr>
      </w:pPr>
    </w:p>
    <w:p w14:paraId="420A01DD" w14:textId="77777777" w:rsidR="00BD0D51" w:rsidRDefault="00BD0D51" w:rsidP="00F4316E">
      <w:pPr>
        <w:spacing w:after="120" w:line="360" w:lineRule="auto"/>
        <w:ind w:left="567" w:right="1695"/>
        <w:rPr>
          <w:rFonts w:ascii="Arial" w:eastAsia="Arial" w:hAnsi="Arial" w:cs="Arial"/>
        </w:rPr>
      </w:pPr>
    </w:p>
    <w:p w14:paraId="47EA8CC8" w14:textId="4447A410" w:rsidR="00BD0D51" w:rsidRDefault="00BD0D51" w:rsidP="00F4316E">
      <w:pPr>
        <w:spacing w:after="120" w:line="360" w:lineRule="auto"/>
        <w:ind w:left="567" w:right="1695"/>
        <w:rPr>
          <w:rFonts w:ascii="Arial" w:eastAsia="Arial" w:hAnsi="Arial" w:cs="Arial"/>
        </w:rPr>
      </w:pPr>
      <w:r>
        <w:rPr>
          <w:rFonts w:ascii="Arial" w:hAnsi="Arial"/>
          <w:noProof/>
        </w:rPr>
        <w:drawing>
          <wp:inline distT="0" distB="0" distL="0" distR="0" wp14:anchorId="0B6DD9F3" wp14:editId="09A2EFC5">
            <wp:extent cx="3477600" cy="2880000"/>
            <wp:effectExtent l="0" t="0" r="2540" b="3175"/>
            <wp:docPr id="50088967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889677" name="Grafik 50088967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1BAEF85" w14:textId="77777777" w:rsidR="00BD0D51" w:rsidRPr="00BD0D51" w:rsidRDefault="00BD0D51" w:rsidP="00BD0D51">
      <w:pPr>
        <w:spacing w:after="120" w:line="360" w:lineRule="auto"/>
        <w:ind w:left="567" w:right="1695"/>
        <w:rPr>
          <w:rFonts w:ascii="Arial" w:eastAsia="Arial" w:hAnsi="Arial" w:cs="Arial"/>
        </w:rPr>
      </w:pPr>
      <w:proofErr w:type="spellStart"/>
      <w:r>
        <w:rPr>
          <w:rFonts w:ascii="Arial" w:hAnsi="Arial"/>
        </w:rPr>
        <w:t>Pantera</w:t>
      </w:r>
      <w:proofErr w:type="spellEnd"/>
      <w:r>
        <w:rPr>
          <w:rFonts w:ascii="Arial" w:hAnsi="Arial"/>
        </w:rPr>
        <w:t xml:space="preserve"> 7004 W avec voie variable jusqu’à 3,00 m </w:t>
      </w:r>
    </w:p>
    <w:p w14:paraId="697ACE83" w14:textId="77777777" w:rsidR="00BD0D51" w:rsidRDefault="00BD0D51" w:rsidP="00F4316E">
      <w:pPr>
        <w:spacing w:after="120" w:line="360" w:lineRule="auto"/>
        <w:ind w:left="567" w:right="1695"/>
        <w:rPr>
          <w:rFonts w:ascii="Arial" w:eastAsia="Arial" w:hAnsi="Arial" w:cs="Arial"/>
        </w:rPr>
      </w:pPr>
    </w:p>
    <w:p w14:paraId="49608E0C" w14:textId="77777777" w:rsidR="00BD0D51" w:rsidRDefault="00BD0D51" w:rsidP="00F4316E">
      <w:pPr>
        <w:spacing w:after="120" w:line="360" w:lineRule="auto"/>
        <w:ind w:left="567" w:right="1695"/>
        <w:rPr>
          <w:rFonts w:ascii="Arial" w:eastAsia="Arial" w:hAnsi="Arial" w:cs="Arial"/>
        </w:rPr>
      </w:pPr>
    </w:p>
    <w:p w14:paraId="753170DE" w14:textId="74B03E20" w:rsidR="00BD0D51" w:rsidRPr="00F4316E" w:rsidRDefault="00BD0D51"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84C35A8" wp14:editId="2762855C">
            <wp:extent cx="4057200" cy="2880000"/>
            <wp:effectExtent l="0" t="0" r="0" b="3175"/>
            <wp:docPr id="79115235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152357" name="Grafik 79115235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64943011" w14:textId="77777777" w:rsidR="00BD0D51" w:rsidRPr="00BD0D51" w:rsidRDefault="00BD0D51" w:rsidP="00BD0D51">
      <w:pPr>
        <w:spacing w:after="120" w:line="360" w:lineRule="auto"/>
        <w:ind w:left="567" w:right="1695"/>
        <w:rPr>
          <w:rFonts w:ascii="Arial" w:eastAsia="Arial" w:hAnsi="Arial" w:cs="Arial"/>
        </w:rPr>
      </w:pPr>
      <w:r>
        <w:rPr>
          <w:rFonts w:ascii="Arial" w:hAnsi="Arial"/>
        </w:rPr>
        <w:t>Train roulant avec suspension adaptative</w:t>
      </w:r>
    </w:p>
    <w:p w14:paraId="5C6EE04B" w14:textId="77777777" w:rsidR="00F4316E" w:rsidRDefault="00F4316E" w:rsidP="00F4316E">
      <w:pPr>
        <w:spacing w:after="120" w:line="360" w:lineRule="auto"/>
        <w:ind w:left="567" w:right="1695"/>
        <w:rPr>
          <w:rFonts w:ascii="Arial" w:eastAsia="Arial" w:hAnsi="Arial" w:cs="Arial"/>
        </w:rPr>
      </w:pPr>
    </w:p>
    <w:p w14:paraId="5836619C" w14:textId="77777777" w:rsidR="00BD0D51" w:rsidRDefault="00BD0D51" w:rsidP="00F4316E">
      <w:pPr>
        <w:spacing w:after="120" w:line="360" w:lineRule="auto"/>
        <w:ind w:left="567" w:right="1695"/>
        <w:rPr>
          <w:rFonts w:ascii="Arial" w:eastAsia="Arial" w:hAnsi="Arial" w:cs="Arial"/>
        </w:rPr>
      </w:pPr>
    </w:p>
    <w:p w14:paraId="217F13E2" w14:textId="24E4438D" w:rsidR="00BD0D51" w:rsidRDefault="00BD0D51" w:rsidP="00F4316E">
      <w:pPr>
        <w:spacing w:after="120" w:line="360" w:lineRule="auto"/>
        <w:ind w:left="567" w:right="1695"/>
        <w:rPr>
          <w:rFonts w:ascii="Arial" w:eastAsia="Arial" w:hAnsi="Arial" w:cs="Arial"/>
        </w:rPr>
      </w:pPr>
      <w:r>
        <w:rPr>
          <w:rFonts w:ascii="Arial" w:hAnsi="Arial"/>
          <w:noProof/>
        </w:rPr>
        <w:drawing>
          <wp:inline distT="0" distB="0" distL="0" distR="0" wp14:anchorId="64003477" wp14:editId="5CFB1507">
            <wp:extent cx="4064400" cy="2880000"/>
            <wp:effectExtent l="0" t="0" r="0" b="3175"/>
            <wp:docPr id="15774658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465836" name="Grafik 157746583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3A09D01" w14:textId="77777777" w:rsidR="00BD0D51" w:rsidRPr="00BD0D51" w:rsidRDefault="00BD0D51" w:rsidP="00BD0D51">
      <w:pPr>
        <w:spacing w:after="120" w:line="360" w:lineRule="auto"/>
        <w:ind w:left="567" w:right="1695"/>
        <w:rPr>
          <w:rFonts w:ascii="Arial" w:eastAsia="Arial" w:hAnsi="Arial" w:cs="Arial"/>
        </w:rPr>
      </w:pPr>
      <w:r>
        <w:rPr>
          <w:rFonts w:ascii="Arial" w:hAnsi="Arial"/>
        </w:rPr>
        <w:t>Conception simple avec usure et maintenance minimes</w:t>
      </w:r>
    </w:p>
    <w:p w14:paraId="12D34EC8" w14:textId="77777777" w:rsidR="00BD0D51" w:rsidRDefault="00BD0D51" w:rsidP="00F4316E">
      <w:pPr>
        <w:spacing w:after="120" w:line="360" w:lineRule="auto"/>
        <w:ind w:left="567" w:right="1695"/>
        <w:rPr>
          <w:rFonts w:ascii="Arial" w:eastAsia="Arial" w:hAnsi="Arial" w:cs="Arial"/>
        </w:rPr>
      </w:pPr>
    </w:p>
    <w:p w14:paraId="2AA27F2E" w14:textId="77777777" w:rsidR="00BD0D51" w:rsidRDefault="00BD0D51" w:rsidP="00F4316E">
      <w:pPr>
        <w:spacing w:after="120" w:line="360" w:lineRule="auto"/>
        <w:ind w:left="567" w:right="1695"/>
        <w:rPr>
          <w:rFonts w:ascii="Arial" w:eastAsia="Arial" w:hAnsi="Arial" w:cs="Arial"/>
        </w:rPr>
      </w:pPr>
    </w:p>
    <w:p w14:paraId="0DE11DAE" w14:textId="28AAC849" w:rsidR="00BD0D51" w:rsidRDefault="00BD0D51"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AD25BF5" wp14:editId="1AB6417D">
            <wp:extent cx="4064400" cy="2880000"/>
            <wp:effectExtent l="0" t="0" r="0" b="3175"/>
            <wp:docPr id="176472188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721887" name="Grafik 17647218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0DB0794" w14:textId="77777777" w:rsidR="00BD0D51" w:rsidRPr="00BD0D51" w:rsidRDefault="00BD0D51" w:rsidP="00BD0D51">
      <w:pPr>
        <w:spacing w:after="120" w:line="360" w:lineRule="auto"/>
        <w:ind w:left="567" w:right="1695"/>
        <w:rPr>
          <w:rFonts w:ascii="Arial" w:eastAsia="Arial" w:hAnsi="Arial" w:cs="Arial"/>
        </w:rPr>
      </w:pPr>
      <w:r>
        <w:rPr>
          <w:rFonts w:ascii="Arial" w:hAnsi="Arial"/>
        </w:rPr>
        <w:t>2 conduites d'alimentation pour l’application avec ou sans produit supplémentaire</w:t>
      </w:r>
    </w:p>
    <w:p w14:paraId="25E71232" w14:textId="77777777" w:rsidR="00D34808" w:rsidRDefault="00D34808" w:rsidP="00F4316E">
      <w:pPr>
        <w:spacing w:after="120" w:line="360" w:lineRule="auto"/>
        <w:ind w:left="567" w:right="1695"/>
        <w:rPr>
          <w:rFonts w:ascii="Arial" w:eastAsia="Arial" w:hAnsi="Arial" w:cs="Arial"/>
        </w:rPr>
      </w:pPr>
    </w:p>
    <w:p w14:paraId="0FF70DFB" w14:textId="77777777" w:rsidR="00BD0D51" w:rsidRDefault="00BD0D51" w:rsidP="00F4316E">
      <w:pPr>
        <w:spacing w:after="120" w:line="360" w:lineRule="auto"/>
        <w:ind w:left="567" w:right="1695"/>
        <w:rPr>
          <w:rFonts w:ascii="Arial" w:eastAsia="Arial" w:hAnsi="Arial" w:cs="Arial"/>
        </w:rPr>
      </w:pPr>
    </w:p>
    <w:p w14:paraId="159481EC" w14:textId="0DBEDD3F" w:rsidR="00BD0D51" w:rsidRDefault="00BD0D51" w:rsidP="00F4316E">
      <w:pPr>
        <w:spacing w:after="120" w:line="360" w:lineRule="auto"/>
        <w:ind w:left="567" w:right="1695"/>
        <w:rPr>
          <w:rFonts w:ascii="Arial" w:eastAsia="Arial" w:hAnsi="Arial" w:cs="Arial"/>
        </w:rPr>
      </w:pPr>
      <w:r>
        <w:rPr>
          <w:rFonts w:ascii="Arial" w:hAnsi="Arial"/>
          <w:noProof/>
        </w:rPr>
        <w:drawing>
          <wp:inline distT="0" distB="0" distL="0" distR="0" wp14:anchorId="6E3A7304" wp14:editId="3D77098D">
            <wp:extent cx="6120000" cy="2390400"/>
            <wp:effectExtent l="0" t="0" r="1905" b="0"/>
            <wp:docPr id="120197367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973678" name="Grafik 120197367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390400"/>
                    </a:xfrm>
                    <a:prstGeom prst="rect">
                      <a:avLst/>
                    </a:prstGeom>
                  </pic:spPr>
                </pic:pic>
              </a:graphicData>
            </a:graphic>
          </wp:inline>
        </w:drawing>
      </w:r>
    </w:p>
    <w:p w14:paraId="1C99EE83" w14:textId="77777777" w:rsidR="00BD0D51" w:rsidRPr="00BD0D51" w:rsidRDefault="00BD0D51" w:rsidP="00BD0D51">
      <w:pPr>
        <w:spacing w:after="120" w:line="360" w:lineRule="auto"/>
        <w:ind w:left="567" w:right="1695"/>
        <w:rPr>
          <w:rFonts w:ascii="Arial" w:eastAsia="Arial" w:hAnsi="Arial" w:cs="Arial"/>
        </w:rPr>
      </w:pPr>
      <w:proofErr w:type="spellStart"/>
      <w:r>
        <w:rPr>
          <w:rFonts w:ascii="Arial" w:hAnsi="Arial"/>
        </w:rPr>
        <w:t>DirectInject</w:t>
      </w:r>
      <w:proofErr w:type="spellEnd"/>
      <w:r>
        <w:rPr>
          <w:rFonts w:ascii="Arial" w:hAnsi="Arial"/>
        </w:rPr>
        <w:t xml:space="preserve"> sur le </w:t>
      </w:r>
      <w:proofErr w:type="spellStart"/>
      <w:r>
        <w:rPr>
          <w:rFonts w:ascii="Arial" w:hAnsi="Arial"/>
        </w:rPr>
        <w:t>Pantera</w:t>
      </w:r>
      <w:proofErr w:type="spellEnd"/>
    </w:p>
    <w:p w14:paraId="5FDA850C" w14:textId="77777777" w:rsidR="00BD0D51" w:rsidRDefault="00BD0D51" w:rsidP="00F4316E">
      <w:pPr>
        <w:spacing w:after="120" w:line="360" w:lineRule="auto"/>
        <w:ind w:left="567" w:right="1695"/>
        <w:rPr>
          <w:rFonts w:ascii="Arial" w:eastAsia="Arial" w:hAnsi="Arial" w:cs="Arial"/>
        </w:rPr>
      </w:pPr>
    </w:p>
    <w:p w14:paraId="65431912" w14:textId="77777777" w:rsidR="00BD0D51" w:rsidRDefault="00BD0D51" w:rsidP="00F4316E">
      <w:pPr>
        <w:spacing w:after="120" w:line="360" w:lineRule="auto"/>
        <w:ind w:left="567" w:right="1695"/>
        <w:rPr>
          <w:rFonts w:ascii="Arial" w:eastAsia="Arial" w:hAnsi="Arial" w:cs="Arial"/>
        </w:rPr>
      </w:pPr>
    </w:p>
    <w:p w14:paraId="764A173F" w14:textId="17D73827" w:rsidR="00BD0D51" w:rsidRDefault="00BD0D51"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691EE49" wp14:editId="20BE3EAC">
            <wp:extent cx="4064400" cy="2880000"/>
            <wp:effectExtent l="0" t="0" r="0" b="3175"/>
            <wp:docPr id="120789313"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89313" name="Grafik 12078931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885EA1F" w14:textId="77777777" w:rsidR="00BD0D51" w:rsidRPr="00BD0D51" w:rsidRDefault="00BD0D51" w:rsidP="00BD0D51">
      <w:pPr>
        <w:spacing w:after="120" w:line="360" w:lineRule="auto"/>
        <w:ind w:left="567" w:right="1695"/>
        <w:rPr>
          <w:rFonts w:ascii="Arial" w:eastAsia="Arial" w:hAnsi="Arial" w:cs="Arial"/>
        </w:rPr>
      </w:pPr>
      <w:r>
        <w:rPr>
          <w:rFonts w:ascii="Arial" w:hAnsi="Arial"/>
        </w:rPr>
        <w:t>Trimble GFX 1260 associé à l’</w:t>
      </w:r>
      <w:proofErr w:type="spellStart"/>
      <w:r>
        <w:rPr>
          <w:rFonts w:ascii="Arial" w:hAnsi="Arial"/>
        </w:rPr>
        <w:t>AmaDrive</w:t>
      </w:r>
      <w:proofErr w:type="spellEnd"/>
      <w:r>
        <w:rPr>
          <w:rFonts w:ascii="Arial" w:hAnsi="Arial"/>
        </w:rPr>
        <w:t xml:space="preserve"> AMAZONE</w:t>
      </w:r>
    </w:p>
    <w:p w14:paraId="6E5DEABB" w14:textId="77777777" w:rsidR="00BD0D51" w:rsidRDefault="00BD0D51" w:rsidP="00F4316E">
      <w:pPr>
        <w:spacing w:after="120" w:line="360" w:lineRule="auto"/>
        <w:ind w:left="567" w:right="1695"/>
        <w:rPr>
          <w:rFonts w:ascii="Arial" w:eastAsia="Arial" w:hAnsi="Arial" w:cs="Arial"/>
        </w:rPr>
      </w:pPr>
    </w:p>
    <w:p w14:paraId="1BE95015" w14:textId="77777777" w:rsidR="00BD0D51" w:rsidRDefault="00BD0D51" w:rsidP="00F4316E">
      <w:pPr>
        <w:spacing w:after="120" w:line="360" w:lineRule="auto"/>
        <w:ind w:left="567" w:right="1695"/>
        <w:rPr>
          <w:rFonts w:ascii="Arial" w:eastAsia="Arial" w:hAnsi="Arial" w:cs="Arial"/>
        </w:rPr>
      </w:pPr>
    </w:p>
    <w:p w14:paraId="27F19852" w14:textId="060C6E3D" w:rsidR="00BD0D51" w:rsidRDefault="00BD0D51" w:rsidP="00F4316E">
      <w:pPr>
        <w:spacing w:after="120" w:line="360" w:lineRule="auto"/>
        <w:ind w:left="567" w:right="1695"/>
        <w:rPr>
          <w:rFonts w:ascii="Arial" w:eastAsia="Arial" w:hAnsi="Arial" w:cs="Arial"/>
        </w:rPr>
      </w:pPr>
      <w:r>
        <w:rPr>
          <w:rFonts w:ascii="Arial" w:hAnsi="Arial"/>
          <w:noProof/>
        </w:rPr>
        <w:drawing>
          <wp:inline distT="0" distB="0" distL="0" distR="0" wp14:anchorId="25EDD68E" wp14:editId="76D6927A">
            <wp:extent cx="4064400" cy="2880000"/>
            <wp:effectExtent l="0" t="0" r="0" b="3175"/>
            <wp:docPr id="113447205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472059" name="Grafik 113447205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E30CF4C" w14:textId="77777777" w:rsidR="00BD0D51" w:rsidRPr="00BD0D51" w:rsidRDefault="00BD0D51" w:rsidP="00BD0D51">
      <w:pPr>
        <w:spacing w:after="120" w:line="360" w:lineRule="auto"/>
        <w:ind w:left="567" w:right="1695"/>
        <w:rPr>
          <w:rFonts w:ascii="Arial" w:eastAsia="Arial" w:hAnsi="Arial" w:cs="Arial"/>
        </w:rPr>
      </w:pPr>
      <w:r>
        <w:rPr>
          <w:rFonts w:ascii="Arial" w:hAnsi="Arial"/>
        </w:rPr>
        <w:t>Récepteur GPS Trimble NAV 900</w:t>
      </w:r>
    </w:p>
    <w:p w14:paraId="0F43E94C" w14:textId="54E6D170" w:rsidR="00EC4616" w:rsidRDefault="00EC4616">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16"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1788BA" w14:textId="77777777" w:rsidR="002219D1" w:rsidRDefault="002219D1">
      <w:r>
        <w:separator/>
      </w:r>
    </w:p>
  </w:endnote>
  <w:endnote w:type="continuationSeparator" w:id="0">
    <w:p w14:paraId="50B46074" w14:textId="77777777" w:rsidR="002219D1" w:rsidRDefault="00221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503EDC" w14:textId="77777777" w:rsidR="002219D1" w:rsidRDefault="002219D1">
      <w:r>
        <w:separator/>
      </w:r>
    </w:p>
  </w:footnote>
  <w:footnote w:type="continuationSeparator" w:id="0">
    <w:p w14:paraId="6BDB6532" w14:textId="77777777" w:rsidR="002219D1" w:rsidRDefault="00221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9"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0"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num w:numId="1" w16cid:durableId="556358491">
    <w:abstractNumId w:val="6"/>
  </w:num>
  <w:num w:numId="2" w16cid:durableId="1510219160">
    <w:abstractNumId w:val="1"/>
  </w:num>
  <w:num w:numId="3" w16cid:durableId="613364659">
    <w:abstractNumId w:val="4"/>
  </w:num>
  <w:num w:numId="4" w16cid:durableId="1043675452">
    <w:abstractNumId w:val="5"/>
  </w:num>
  <w:num w:numId="5" w16cid:durableId="2011105495">
    <w:abstractNumId w:val="3"/>
  </w:num>
  <w:num w:numId="6" w16cid:durableId="494960578">
    <w:abstractNumId w:val="0"/>
  </w:num>
  <w:num w:numId="7" w16cid:durableId="2097939876">
    <w:abstractNumId w:val="10"/>
  </w:num>
  <w:num w:numId="8" w16cid:durableId="33434184">
    <w:abstractNumId w:val="7"/>
  </w:num>
  <w:num w:numId="9" w16cid:durableId="274018629">
    <w:abstractNumId w:val="8"/>
  </w:num>
  <w:num w:numId="10" w16cid:durableId="1622229493">
    <w:abstractNumId w:val="9"/>
  </w:num>
  <w:num w:numId="11" w16cid:durableId="1404913225">
    <w:abstractNumId w:val="2"/>
  </w:num>
  <w:num w:numId="12" w16cid:durableId="25251257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A23"/>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19D1"/>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479"/>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0D51"/>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023B"/>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4616"/>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france/"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france"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www.amazone.fr" TargetMode="External"/><Relationship Id="rId20" Type="http://schemas.openxmlformats.org/officeDocument/2006/relationships/hyperlink" Target="https://instagram.com/amazone_france"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996</Words>
  <Characters>5616</Characters>
  <Application>Microsoft Office Word</Application>
  <DocSecurity>0</DocSecurity>
  <Lines>46</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6599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2025-08-18T12:23:00Z</dcterms:created>
  <dcterms:modified xsi:type="dcterms:W3CDTF">2025-09-02T08:44:00Z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