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574EBC" w14:textId="77777777" w:rsidR="0039244D" w:rsidRPr="0039244D" w:rsidRDefault="0039244D" w:rsidP="0039244D">
      <w:pPr>
        <w:spacing w:line="360" w:lineRule="auto"/>
        <w:ind w:left="567" w:right="1695"/>
        <w:rPr>
          <w:rFonts w:ascii="Arial" w:hAnsi="Arial" w:cs="Arial"/>
          <w:b/>
          <w:bCs/>
          <w:sz w:val="28"/>
          <w:szCs w:val="28"/>
        </w:rPr>
      </w:pPr>
      <w:r>
        <w:rPr>
          <w:rFonts w:ascii="Arial" w:hAnsi="Arial"/>
          <w:b/>
          <w:sz w:val="28"/>
        </w:rPr>
        <w:t xml:space="preserve">Pantera 7004 jeszcze bardziej uniwersalna! </w:t>
      </w:r>
    </w:p>
    <w:p w14:paraId="309F85C9" w14:textId="77777777" w:rsidR="0039244D" w:rsidRPr="0039244D" w:rsidRDefault="0039244D" w:rsidP="0039244D">
      <w:pPr>
        <w:spacing w:line="360" w:lineRule="auto"/>
        <w:ind w:left="567" w:right="1695"/>
        <w:rPr>
          <w:rFonts w:ascii="Arial" w:hAnsi="Arial" w:cs="Arial"/>
          <w:b/>
          <w:bCs/>
        </w:rPr>
      </w:pPr>
      <w:r>
        <w:rPr>
          <w:rFonts w:ascii="Arial" w:hAnsi="Arial"/>
          <w:b/>
        </w:rPr>
        <w:t>Nowe podwozie W, DirectInject i układ kierowania automatycznego firmy Trimble</w:t>
      </w:r>
    </w:p>
    <w:p w14:paraId="77523A59" w14:textId="77777777" w:rsidR="00070765" w:rsidRDefault="00070765" w:rsidP="00330541">
      <w:pPr>
        <w:spacing w:line="360" w:lineRule="auto"/>
        <w:ind w:left="567" w:right="1695"/>
        <w:rPr>
          <w:rFonts w:ascii="Arial" w:hAnsi="Arial" w:cs="Arial"/>
        </w:rPr>
      </w:pPr>
    </w:p>
    <w:p w14:paraId="1946278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Samojezdny opryskiwacz polowy Pantera 7004 zaprezentowany na ostatnich targach Agritechnica charakteryzuje się nie tylko wysoką wydajnością, ale także doskonałymi właściwościami jezdnymi, które uzyskano dzięki specjalnej koncepcji podwozia. Klienci doceniają również intuicyjną i wygodną obsługę maszyny. </w:t>
      </w:r>
    </w:p>
    <w:p w14:paraId="3367BC1D" w14:textId="77777777" w:rsidR="0039244D" w:rsidRPr="0039244D" w:rsidRDefault="0039244D" w:rsidP="0039244D">
      <w:pPr>
        <w:spacing w:after="120" w:line="360" w:lineRule="auto"/>
        <w:ind w:left="567" w:right="1695"/>
        <w:rPr>
          <w:rFonts w:ascii="Arial" w:eastAsia="Arial" w:hAnsi="Arial" w:cs="Arial"/>
        </w:rPr>
      </w:pPr>
    </w:p>
    <w:p w14:paraId="2DA87C5A" w14:textId="77777777" w:rsidR="0039244D" w:rsidRPr="0039244D" w:rsidRDefault="0039244D" w:rsidP="0039244D">
      <w:pPr>
        <w:spacing w:after="120" w:line="360" w:lineRule="auto"/>
        <w:ind w:left="567" w:right="1695"/>
        <w:rPr>
          <w:rFonts w:ascii="Arial" w:eastAsia="Arial" w:hAnsi="Arial" w:cs="Arial"/>
        </w:rPr>
      </w:pPr>
      <w:r>
        <w:rPr>
          <w:rFonts w:ascii="Arial" w:hAnsi="Arial"/>
        </w:rPr>
        <w:t>Dzięki nowo wprowadzonemu wyposażeniu specjalnemu w postaci podwozia W i układu kierowniczego Trimble maszynę można jeszcze lepiej dostosować do wymagań klienta. Ponadto dzięki opcjonalnemu systemowi zasilania bezpośredniego DirectInject stosowanie środków ochrony roślin może być jeszcze bardziej wydajne i elastyczne.</w:t>
      </w:r>
    </w:p>
    <w:p w14:paraId="33B75E0A" w14:textId="77777777" w:rsidR="0039244D" w:rsidRPr="0039244D" w:rsidRDefault="0039244D" w:rsidP="0039244D">
      <w:pPr>
        <w:spacing w:after="120" w:line="360" w:lineRule="auto"/>
        <w:ind w:left="567" w:right="1695"/>
        <w:rPr>
          <w:rFonts w:ascii="Arial" w:eastAsia="Arial" w:hAnsi="Arial" w:cs="Arial"/>
        </w:rPr>
      </w:pPr>
    </w:p>
    <w:p w14:paraId="1C9F7B34" w14:textId="77777777" w:rsidR="0039244D" w:rsidRPr="0039244D" w:rsidRDefault="0039244D" w:rsidP="0039244D">
      <w:pPr>
        <w:spacing w:after="120" w:line="360" w:lineRule="auto"/>
        <w:ind w:left="567" w:right="1695"/>
        <w:rPr>
          <w:rFonts w:ascii="Arial" w:eastAsia="Arial" w:hAnsi="Arial" w:cs="Arial"/>
          <w:b/>
          <w:bCs/>
        </w:rPr>
      </w:pPr>
      <w:r>
        <w:rPr>
          <w:rFonts w:ascii="Arial" w:hAnsi="Arial"/>
          <w:b/>
        </w:rPr>
        <w:t>Podwozie W</w:t>
      </w:r>
    </w:p>
    <w:p w14:paraId="2D463E00"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Oprócz standardowego podwozia o rozstawie kół od 2,00 do 2,75 m, które jest standardowo regulowane bezstopniowo hydraulicznie, Pantera 7004 W osiąga rozstaw kół od 2,25 do 3,00 m. </w:t>
      </w:r>
    </w:p>
    <w:p w14:paraId="7AC5641B" w14:textId="77777777" w:rsidR="0039244D" w:rsidRPr="0039244D" w:rsidRDefault="0039244D" w:rsidP="0039244D">
      <w:pPr>
        <w:spacing w:after="120" w:line="360" w:lineRule="auto"/>
        <w:ind w:left="567" w:right="1695"/>
        <w:rPr>
          <w:rFonts w:ascii="Arial" w:eastAsia="Arial" w:hAnsi="Arial" w:cs="Arial"/>
        </w:rPr>
      </w:pPr>
    </w:p>
    <w:p w14:paraId="019E6569" w14:textId="77777777" w:rsidR="0039244D" w:rsidRPr="0039244D" w:rsidRDefault="0039244D" w:rsidP="0039244D">
      <w:pPr>
        <w:spacing w:after="120" w:line="360" w:lineRule="auto"/>
        <w:ind w:left="567" w:right="1695"/>
        <w:rPr>
          <w:rFonts w:ascii="Arial" w:eastAsia="Arial" w:hAnsi="Arial" w:cs="Arial"/>
        </w:rPr>
      </w:pPr>
      <w:r>
        <w:rPr>
          <w:rFonts w:ascii="Arial" w:hAnsi="Arial"/>
        </w:rPr>
        <w:t>Dzięki dużemu zakresowi regulacji objęte są przez to dwa ważne rozstawy kół. Po pierwsze, coraz bardziej powszechny rozstaw kół wynoszący 2,25 m w przypadku zboża, kukurydzy i ziemniaków ze ścieżkami technologicznymi. Po drugie, rozstaw kół wynoszący 3,00 m w przypadku ziemniaków bez ścieżek technologicznych, upraw specjalnych i na przykład upraw gleby w systemie kontroli ruchu maszyn rolniczych.</w:t>
      </w:r>
    </w:p>
    <w:p w14:paraId="34A51B87" w14:textId="77777777" w:rsidR="0039244D" w:rsidRPr="0039244D" w:rsidRDefault="0039244D" w:rsidP="0039244D">
      <w:pPr>
        <w:spacing w:after="120" w:line="360" w:lineRule="auto"/>
        <w:ind w:left="567" w:right="1695"/>
        <w:rPr>
          <w:rFonts w:ascii="Arial" w:eastAsia="Arial" w:hAnsi="Arial" w:cs="Arial"/>
        </w:rPr>
      </w:pPr>
    </w:p>
    <w:p w14:paraId="3D1DCE3B"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Unikalna technologia podwozia opryskiwacza Pantera przynosi niezwykłe korzyści. Konstrukcja zawieszenia niezależnego z wahaczami wzdłużnymi </w:t>
      </w:r>
      <w:r>
        <w:rPr>
          <w:rFonts w:ascii="Arial" w:hAnsi="Arial"/>
        </w:rPr>
        <w:lastRenderedPageBreak/>
        <w:t xml:space="preserve">umożliwia znaczną redukcję masy w porównaniu z konwencjonalnym zawieszeniem pojedynczych kół, a także jest szczególnie łatwa w utrzymaniu ze względu na niewielką liczbę punktów obrotu. Hydrauliczno-pneumatyczne zawieszenie jest sterowane w sposób adaptacyjny, przez co można dopasować właściwości podwozia w zależności od sytuacji na polu. Ten inteligentny system sterowania zapewnia optymalną stabilność jazdy i maksymalny komfort prowadzenia. </w:t>
      </w:r>
    </w:p>
    <w:p w14:paraId="3B7D77A7" w14:textId="77777777" w:rsidR="0039244D" w:rsidRPr="0039244D" w:rsidRDefault="0039244D" w:rsidP="0039244D">
      <w:pPr>
        <w:spacing w:after="120" w:line="360" w:lineRule="auto"/>
        <w:ind w:left="567" w:right="1695"/>
        <w:rPr>
          <w:rFonts w:ascii="Arial" w:eastAsia="Arial" w:hAnsi="Arial" w:cs="Arial"/>
        </w:rPr>
      </w:pPr>
    </w:p>
    <w:p w14:paraId="5764051A"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Oprócz funkcji ochrony gleby podczas jazdy z przesunięciem rozstawu kół, w której po glebie przejeżdża się tylko raz, zintegrowana funkcja kompensacji nachylenia jest kolejną szczególną zaletą. Maszyna jest automatycznie utrzymywana w poziomie do nachylenia zbocza. W połączeniu z i tak nisko położonym środkiem ciężkości maszyny i hydrauliczno-pneumatycznym podwoziem funkcja ta zapewnia wyjątkową stabilność na zboczach. </w:t>
      </w:r>
    </w:p>
    <w:p w14:paraId="3324A291" w14:textId="77777777" w:rsidR="0039244D" w:rsidRPr="0039244D" w:rsidRDefault="0039244D" w:rsidP="0039244D">
      <w:pPr>
        <w:spacing w:after="120" w:line="360" w:lineRule="auto"/>
        <w:ind w:left="567" w:right="1695"/>
        <w:rPr>
          <w:rFonts w:ascii="Arial" w:eastAsia="Arial" w:hAnsi="Arial" w:cs="Arial"/>
        </w:rPr>
      </w:pPr>
    </w:p>
    <w:p w14:paraId="1F7D72A3" w14:textId="77777777" w:rsidR="0039244D" w:rsidRPr="0039244D" w:rsidRDefault="0039244D" w:rsidP="0039244D">
      <w:pPr>
        <w:spacing w:after="120" w:line="360" w:lineRule="auto"/>
        <w:ind w:left="567" w:right="1695"/>
        <w:rPr>
          <w:rFonts w:ascii="Arial" w:eastAsia="Arial" w:hAnsi="Arial" w:cs="Arial"/>
          <w:b/>
          <w:bCs/>
        </w:rPr>
      </w:pPr>
      <w:r>
        <w:rPr>
          <w:rFonts w:ascii="Arial" w:hAnsi="Arial"/>
          <w:b/>
        </w:rPr>
        <w:t>Zasilanie bezpośrednie DirectInject</w:t>
      </w:r>
    </w:p>
    <w:p w14:paraId="2AA3A883"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DirectInject jest już stosowane setki razy na rynku w opryskiwaczach zaczepianych z gamy produktów UX 01. Użytkownicy doceniają szczególnie wysoki poziom elastyczności w stosowaniu środków ochrony roślin w połączeniu z bardzo prostą obsługą systemu. Cała gama produktów Pantera może zostać teraz również wyposażona w DirectInject, aby elastycznie, szybko i zgodnie z wymaganiami zasilać poszczególne produkty. </w:t>
      </w:r>
    </w:p>
    <w:p w14:paraId="63848680" w14:textId="77777777" w:rsidR="0039244D" w:rsidRPr="0039244D" w:rsidRDefault="0039244D" w:rsidP="0039244D">
      <w:pPr>
        <w:spacing w:after="120" w:line="360" w:lineRule="auto"/>
        <w:ind w:left="567" w:right="1695"/>
        <w:rPr>
          <w:rFonts w:ascii="Arial" w:eastAsia="Arial" w:hAnsi="Arial" w:cs="Arial"/>
        </w:rPr>
      </w:pPr>
    </w:p>
    <w:p w14:paraId="6E28BF54"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Podczas aplikacji cieczy roboczej za naciśnięciem przycisku można dozować dodatkowy produkt. Szczególną cechą DirectInject jest krótka odległość reakcji, wynosząca zaledwie około 30-50 m. Ma to zasadnicze znaczenie w szczególności dla wybiórczego zwalczania gniazd chwastów. Ponadto system ułatwia elastyczne zastosowanie środków ochrony roślin w wielu codziennych sytuacjach, np. gdy konieczna jest specjalna procedura oprysku przy granicach pola, gdy trzeba dozować produkty na obszarach o szczególnych </w:t>
      </w:r>
      <w:r>
        <w:rPr>
          <w:rFonts w:ascii="Arial" w:hAnsi="Arial"/>
        </w:rPr>
        <w:lastRenderedPageBreak/>
        <w:t xml:space="preserve">wymaganiach, lub gdy produkt musi być dozowany w sposób zmienny, niezależnie od dawki mieszanki głównej. </w:t>
      </w:r>
    </w:p>
    <w:p w14:paraId="2C40E9C2" w14:textId="77777777" w:rsidR="0039244D" w:rsidRPr="0039244D" w:rsidRDefault="0039244D" w:rsidP="0039244D">
      <w:pPr>
        <w:spacing w:after="120" w:line="360" w:lineRule="auto"/>
        <w:ind w:left="567" w:right="1695"/>
        <w:rPr>
          <w:rFonts w:ascii="Arial" w:eastAsia="Arial" w:hAnsi="Arial" w:cs="Arial"/>
        </w:rPr>
      </w:pPr>
    </w:p>
    <w:p w14:paraId="51549510"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Pełna integracja systemu z obiegiem cieczy i systemem obsługi sprawia, że jego mycie jest niezawodne i może być przeprowadzane z kabiny. </w:t>
      </w:r>
    </w:p>
    <w:p w14:paraId="34E75BA2" w14:textId="77777777" w:rsidR="0039244D" w:rsidRPr="0039244D" w:rsidRDefault="0039244D" w:rsidP="0039244D">
      <w:pPr>
        <w:spacing w:after="120" w:line="360" w:lineRule="auto"/>
        <w:ind w:left="567" w:right="1695"/>
        <w:rPr>
          <w:rFonts w:ascii="Arial" w:eastAsia="Arial" w:hAnsi="Arial" w:cs="Arial"/>
        </w:rPr>
      </w:pPr>
    </w:p>
    <w:p w14:paraId="2AB32102" w14:textId="77777777" w:rsidR="0039244D" w:rsidRPr="0039244D" w:rsidRDefault="0039244D" w:rsidP="0039244D">
      <w:pPr>
        <w:spacing w:after="120" w:line="360" w:lineRule="auto"/>
        <w:ind w:left="567" w:right="1695"/>
        <w:rPr>
          <w:rFonts w:ascii="Arial" w:eastAsia="Arial" w:hAnsi="Arial" w:cs="Arial"/>
        </w:rPr>
      </w:pPr>
      <w:r>
        <w:rPr>
          <w:rFonts w:ascii="Arial" w:hAnsi="Arial"/>
          <w:b/>
        </w:rPr>
        <w:t>Układ kierowniczy RTK firmy Trimble</w:t>
      </w:r>
    </w:p>
    <w:p w14:paraId="35060452" w14:textId="77777777" w:rsidR="0039244D" w:rsidRPr="0039244D" w:rsidRDefault="0039244D" w:rsidP="0039244D">
      <w:pPr>
        <w:spacing w:after="120" w:line="360" w:lineRule="auto"/>
        <w:ind w:left="567" w:right="1695"/>
        <w:rPr>
          <w:rFonts w:ascii="Arial" w:eastAsia="Arial" w:hAnsi="Arial" w:cs="Arial"/>
        </w:rPr>
      </w:pPr>
      <w:r>
        <w:rPr>
          <w:rFonts w:ascii="Arial" w:hAnsi="Arial"/>
        </w:rPr>
        <w:t>Do automatycznego prowadzenia opryskiwacza Pantera po właściwej trasie dostępny fabrycznie jest teraz układ kierowniczy firmy Trimble. Tym samym oprócz układu kierowniczego TOPCON, który jest już znany i dostępny fabrycznie, klienci mają teraz do dyspozycji drugiego dostawcę, który może wyposażyć maszynę dokładnie pod indywidualne potrzeby gospodarstwa.</w:t>
      </w:r>
    </w:p>
    <w:p w14:paraId="42E09947" w14:textId="77777777" w:rsidR="0039244D" w:rsidRPr="0039244D" w:rsidRDefault="0039244D" w:rsidP="0039244D">
      <w:pPr>
        <w:spacing w:after="120" w:line="360" w:lineRule="auto"/>
        <w:ind w:left="567" w:right="1695"/>
        <w:rPr>
          <w:rFonts w:ascii="Arial" w:eastAsia="Arial" w:hAnsi="Arial" w:cs="Arial"/>
        </w:rPr>
      </w:pPr>
    </w:p>
    <w:p w14:paraId="3D650A51" w14:textId="77777777" w:rsidR="0039244D" w:rsidRPr="0039244D" w:rsidRDefault="0039244D" w:rsidP="0039244D">
      <w:pPr>
        <w:spacing w:after="120" w:line="360" w:lineRule="auto"/>
        <w:ind w:left="567" w:right="1695"/>
        <w:rPr>
          <w:rFonts w:ascii="Arial" w:eastAsia="Arial" w:hAnsi="Arial" w:cs="Arial"/>
        </w:rPr>
      </w:pPr>
      <w:r>
        <w:rPr>
          <w:rFonts w:ascii="Arial" w:hAnsi="Arial"/>
        </w:rPr>
        <w:t xml:space="preserve">Układ kierowniczy Trimble obejmuje terminal ISOBUS „GFX 1260”, który służy jednocześnie jako terminal obsługi opryskiwacza Pantera oraz antenę GPS „NAV-900”. </w:t>
      </w:r>
    </w:p>
    <w:p w14:paraId="684990E0" w14:textId="77777777" w:rsidR="0039244D" w:rsidRPr="0039244D" w:rsidRDefault="0039244D" w:rsidP="0039244D">
      <w:pPr>
        <w:spacing w:after="120" w:line="360" w:lineRule="auto"/>
        <w:ind w:left="567" w:right="1695"/>
        <w:rPr>
          <w:rFonts w:ascii="Arial" w:eastAsia="Arial" w:hAnsi="Arial" w:cs="Arial"/>
        </w:rPr>
      </w:pPr>
    </w:p>
    <w:p w14:paraId="6947DE34" w14:textId="77777777" w:rsidR="0039244D" w:rsidRPr="0039244D" w:rsidRDefault="0039244D" w:rsidP="0039244D">
      <w:pPr>
        <w:spacing w:after="120" w:line="360" w:lineRule="auto"/>
        <w:ind w:left="567" w:right="1695"/>
        <w:rPr>
          <w:rFonts w:ascii="Arial" w:eastAsia="Arial" w:hAnsi="Arial" w:cs="Arial"/>
        </w:rPr>
      </w:pPr>
      <w:r>
        <w:rPr>
          <w:rFonts w:ascii="Arial" w:hAnsi="Arial"/>
        </w:rPr>
        <w:t>Układ kierowniczy może być fabrycznie przystosowany do sygnału Egnos lub dokładności RTK. Klient ma dostęp do pełnego zakresu funkcji terminala Trimble, w tym wszystkich niezbędnych aktywacji. Należą do nich na przykład VariableRateControl do zmiennego stosowania środków ochrony roślin lub Section Control do korzystania z przełączania poszczególnych rozpylaczy z maksymalnie 96 sekcjami szerokości. Istnieje również możliwość bezprzewodowego zarządzania zadaniami i zdalnego monitorowania maszyny za pomocą oprogramowania Trimble Ag.</w:t>
      </w:r>
    </w:p>
    <w:p w14:paraId="30819898" w14:textId="69CAA5CC" w:rsidR="002222A8" w:rsidRDefault="002222A8">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5928F60" w14:textId="0BC1D335"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Wysoka elastyczność dla szerokiego zakresu metod uprawy roli dzięki bezstopniowej regulacji rozstawu kół od 2,25 do 3,00 m</w:t>
      </w:r>
    </w:p>
    <w:p w14:paraId="7293388E" w14:textId="31D7E91A"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Inteligentna technologia podwozia zapewniająca maksymalny komfort jazdy, minimalne zużycie i niską masę własną</w:t>
      </w:r>
    </w:p>
    <w:p w14:paraId="14ED81E5" w14:textId="57C52223"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 xml:space="preserve">Znaczny wzrost elastyczności oraz oszczędność czasu pracy i środków ochrony roślin dzięki systemowi zasilania bezpośredniego DirectInject </w:t>
      </w:r>
    </w:p>
    <w:p w14:paraId="769CEDA7" w14:textId="381B8248" w:rsidR="0039244D" w:rsidRPr="0039244D" w:rsidRDefault="0039244D" w:rsidP="0039244D">
      <w:pPr>
        <w:pStyle w:val="Listenabsatz"/>
        <w:numPr>
          <w:ilvl w:val="0"/>
          <w:numId w:val="12"/>
        </w:numPr>
        <w:spacing w:after="120" w:line="360" w:lineRule="auto"/>
        <w:ind w:right="1695"/>
        <w:rPr>
          <w:rFonts w:ascii="Arial" w:eastAsia="Arial" w:hAnsi="Arial" w:cs="Arial"/>
        </w:rPr>
      </w:pPr>
      <w:r>
        <w:rPr>
          <w:rFonts w:ascii="Arial" w:hAnsi="Arial"/>
        </w:rPr>
        <w:t>Precyzyjna uprawa roślin dzięki układowi kierowniczemu RTK – dostosowana do indywidualnych warunków gospodarstwa</w:t>
      </w:r>
    </w:p>
    <w:p w14:paraId="32587084" w14:textId="77777777" w:rsidR="00532DA0" w:rsidRDefault="00532DA0" w:rsidP="00F4316E">
      <w:pPr>
        <w:spacing w:after="120" w:line="360" w:lineRule="auto"/>
        <w:ind w:left="567" w:right="1695"/>
        <w:rPr>
          <w:rFonts w:ascii="Arial" w:eastAsia="Arial" w:hAnsi="Arial" w:cs="Arial"/>
        </w:rPr>
      </w:pPr>
    </w:p>
    <w:p w14:paraId="420A01DD" w14:textId="77777777" w:rsidR="00BD0D51" w:rsidRDefault="00BD0D51" w:rsidP="00F4316E">
      <w:pPr>
        <w:spacing w:after="120" w:line="360" w:lineRule="auto"/>
        <w:ind w:left="567" w:right="1695"/>
        <w:rPr>
          <w:rFonts w:ascii="Arial" w:eastAsia="Arial" w:hAnsi="Arial" w:cs="Arial"/>
        </w:rPr>
      </w:pPr>
    </w:p>
    <w:p w14:paraId="47EA8CC8" w14:textId="4447A410"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0B6DD9F3" wp14:editId="09A2EFC5">
            <wp:extent cx="3477600" cy="2880000"/>
            <wp:effectExtent l="0" t="0" r="2540" b="3175"/>
            <wp:docPr id="50088967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89677" name="Grafik 50088967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1BAEF85" w14:textId="77777777" w:rsidR="00BD0D51" w:rsidRPr="00BD0D51" w:rsidRDefault="00BD0D51" w:rsidP="00BD0D51">
      <w:pPr>
        <w:spacing w:after="120" w:line="360" w:lineRule="auto"/>
        <w:ind w:left="567" w:right="1695"/>
        <w:rPr>
          <w:rFonts w:ascii="Arial" w:eastAsia="Arial" w:hAnsi="Arial" w:cs="Arial"/>
        </w:rPr>
      </w:pPr>
      <w:r>
        <w:rPr>
          <w:rFonts w:ascii="Arial" w:hAnsi="Arial"/>
        </w:rPr>
        <w:t xml:space="preserve">Pantera 7004 W ze zmiennym rozstawem kół do 3,00 m </w:t>
      </w:r>
    </w:p>
    <w:p w14:paraId="697ACE83" w14:textId="77777777" w:rsidR="00BD0D51" w:rsidRDefault="00BD0D51" w:rsidP="00F4316E">
      <w:pPr>
        <w:spacing w:after="120" w:line="360" w:lineRule="auto"/>
        <w:ind w:left="567" w:right="1695"/>
        <w:rPr>
          <w:rFonts w:ascii="Arial" w:eastAsia="Arial" w:hAnsi="Arial" w:cs="Arial"/>
        </w:rPr>
      </w:pPr>
    </w:p>
    <w:p w14:paraId="49608E0C" w14:textId="77777777" w:rsidR="00BD0D51" w:rsidRDefault="00BD0D51" w:rsidP="00F4316E">
      <w:pPr>
        <w:spacing w:after="120" w:line="360" w:lineRule="auto"/>
        <w:ind w:left="567" w:right="1695"/>
        <w:rPr>
          <w:rFonts w:ascii="Arial" w:eastAsia="Arial" w:hAnsi="Arial" w:cs="Arial"/>
        </w:rPr>
      </w:pPr>
    </w:p>
    <w:p w14:paraId="753170DE" w14:textId="74B03E20" w:rsidR="00BD0D51" w:rsidRPr="00F4316E"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84C35A8" wp14:editId="2762855C">
            <wp:extent cx="4057200" cy="2880000"/>
            <wp:effectExtent l="0" t="0" r="0" b="3175"/>
            <wp:docPr id="79115235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52357" name="Grafik 79115235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64943011" w14:textId="77777777" w:rsidR="00BD0D51" w:rsidRPr="00BD0D51" w:rsidRDefault="00BD0D51" w:rsidP="00BD0D51">
      <w:pPr>
        <w:spacing w:after="120" w:line="360" w:lineRule="auto"/>
        <w:ind w:left="567" w:right="1695"/>
        <w:rPr>
          <w:rFonts w:ascii="Arial" w:eastAsia="Arial" w:hAnsi="Arial" w:cs="Arial"/>
        </w:rPr>
      </w:pPr>
      <w:r>
        <w:rPr>
          <w:rFonts w:ascii="Arial" w:hAnsi="Arial"/>
        </w:rPr>
        <w:t>Podwozie z adaptacyjnym układem jego kontroli</w:t>
      </w:r>
    </w:p>
    <w:p w14:paraId="5C6EE04B" w14:textId="77777777" w:rsidR="00F4316E" w:rsidRDefault="00F4316E" w:rsidP="00F4316E">
      <w:pPr>
        <w:spacing w:after="120" w:line="360" w:lineRule="auto"/>
        <w:ind w:left="567" w:right="1695"/>
        <w:rPr>
          <w:rFonts w:ascii="Arial" w:eastAsia="Arial" w:hAnsi="Arial" w:cs="Arial"/>
        </w:rPr>
      </w:pPr>
    </w:p>
    <w:p w14:paraId="5836619C" w14:textId="77777777" w:rsidR="00BD0D51" w:rsidRDefault="00BD0D51" w:rsidP="00F4316E">
      <w:pPr>
        <w:spacing w:after="120" w:line="360" w:lineRule="auto"/>
        <w:ind w:left="567" w:right="1695"/>
        <w:rPr>
          <w:rFonts w:ascii="Arial" w:eastAsia="Arial" w:hAnsi="Arial" w:cs="Arial"/>
        </w:rPr>
      </w:pPr>
    </w:p>
    <w:p w14:paraId="217F13E2" w14:textId="24E4438D"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64003477" wp14:editId="5CFB1507">
            <wp:extent cx="4064400" cy="2880000"/>
            <wp:effectExtent l="0" t="0" r="0" b="3175"/>
            <wp:docPr id="15774658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65836" name="Grafik 157746583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A09D01" w14:textId="77777777" w:rsidR="00BD0D51" w:rsidRPr="00BD0D51" w:rsidRDefault="00BD0D51" w:rsidP="00BD0D51">
      <w:pPr>
        <w:spacing w:after="120" w:line="360" w:lineRule="auto"/>
        <w:ind w:left="567" w:right="1695"/>
        <w:rPr>
          <w:rFonts w:ascii="Arial" w:eastAsia="Arial" w:hAnsi="Arial" w:cs="Arial"/>
        </w:rPr>
      </w:pPr>
      <w:r>
        <w:rPr>
          <w:rFonts w:ascii="Arial" w:hAnsi="Arial"/>
        </w:rPr>
        <w:t>Prosta konstrukcja z minimalnym zużyciem i nakładem pracy na konserwację</w:t>
      </w:r>
    </w:p>
    <w:p w14:paraId="12D34EC8" w14:textId="77777777" w:rsidR="00BD0D51" w:rsidRDefault="00BD0D51" w:rsidP="00F4316E">
      <w:pPr>
        <w:spacing w:after="120" w:line="360" w:lineRule="auto"/>
        <w:ind w:left="567" w:right="1695"/>
        <w:rPr>
          <w:rFonts w:ascii="Arial" w:eastAsia="Arial" w:hAnsi="Arial" w:cs="Arial"/>
        </w:rPr>
      </w:pPr>
    </w:p>
    <w:p w14:paraId="2AA27F2E" w14:textId="77777777" w:rsidR="00BD0D51" w:rsidRDefault="00BD0D51" w:rsidP="00F4316E">
      <w:pPr>
        <w:spacing w:after="120" w:line="360" w:lineRule="auto"/>
        <w:ind w:left="567" w:right="1695"/>
        <w:rPr>
          <w:rFonts w:ascii="Arial" w:eastAsia="Arial" w:hAnsi="Arial" w:cs="Arial"/>
        </w:rPr>
      </w:pPr>
    </w:p>
    <w:p w14:paraId="0DE11DAE" w14:textId="28AAC849" w:rsidR="00BD0D51"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D25BF5" wp14:editId="1AB6417D">
            <wp:extent cx="4064400" cy="2880000"/>
            <wp:effectExtent l="0" t="0" r="0" b="3175"/>
            <wp:docPr id="17647218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21887" name="Grafik 17647218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DB0794" w14:textId="77777777" w:rsidR="00BD0D51" w:rsidRPr="00BD0D51" w:rsidRDefault="00BD0D51" w:rsidP="00BD0D51">
      <w:pPr>
        <w:spacing w:after="120" w:line="360" w:lineRule="auto"/>
        <w:ind w:left="567" w:right="1695"/>
        <w:rPr>
          <w:rFonts w:ascii="Arial" w:eastAsia="Arial" w:hAnsi="Arial" w:cs="Arial"/>
        </w:rPr>
      </w:pPr>
      <w:r>
        <w:rPr>
          <w:rFonts w:ascii="Arial" w:hAnsi="Arial"/>
        </w:rPr>
        <w:t>2 przewody opryskowe do stosowania z produktem dodatkowym lub bez niego</w:t>
      </w:r>
    </w:p>
    <w:p w14:paraId="25E71232" w14:textId="77777777" w:rsidR="00D34808" w:rsidRDefault="00D34808" w:rsidP="00F4316E">
      <w:pPr>
        <w:spacing w:after="120" w:line="360" w:lineRule="auto"/>
        <w:ind w:left="567" w:right="1695"/>
        <w:rPr>
          <w:rFonts w:ascii="Arial" w:eastAsia="Arial" w:hAnsi="Arial" w:cs="Arial"/>
        </w:rPr>
      </w:pPr>
    </w:p>
    <w:p w14:paraId="0FF70DFB" w14:textId="77777777" w:rsidR="00BD0D51" w:rsidRDefault="00BD0D51" w:rsidP="00F4316E">
      <w:pPr>
        <w:spacing w:after="120" w:line="360" w:lineRule="auto"/>
        <w:ind w:left="567" w:right="1695"/>
        <w:rPr>
          <w:rFonts w:ascii="Arial" w:eastAsia="Arial" w:hAnsi="Arial" w:cs="Arial"/>
        </w:rPr>
      </w:pPr>
    </w:p>
    <w:p w14:paraId="159481EC" w14:textId="0DBEDD3F"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6E3A7304" wp14:editId="3D77098D">
            <wp:extent cx="6120000" cy="2390400"/>
            <wp:effectExtent l="0" t="0" r="1905" b="0"/>
            <wp:docPr id="120197367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973678" name="Grafik 120197367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390400"/>
                    </a:xfrm>
                    <a:prstGeom prst="rect">
                      <a:avLst/>
                    </a:prstGeom>
                  </pic:spPr>
                </pic:pic>
              </a:graphicData>
            </a:graphic>
          </wp:inline>
        </w:drawing>
      </w:r>
    </w:p>
    <w:p w14:paraId="1C99EE83" w14:textId="77777777" w:rsidR="00BD0D51" w:rsidRPr="00BD0D51" w:rsidRDefault="00BD0D51" w:rsidP="00BD0D51">
      <w:pPr>
        <w:spacing w:after="120" w:line="360" w:lineRule="auto"/>
        <w:ind w:left="567" w:right="1695"/>
        <w:rPr>
          <w:rFonts w:ascii="Arial" w:eastAsia="Arial" w:hAnsi="Arial" w:cs="Arial"/>
        </w:rPr>
      </w:pPr>
      <w:r>
        <w:rPr>
          <w:rFonts w:ascii="Arial" w:hAnsi="Arial"/>
        </w:rPr>
        <w:t>DirectInject na opryskiwaczu Pantera</w:t>
      </w:r>
    </w:p>
    <w:p w14:paraId="5FDA850C" w14:textId="77777777" w:rsidR="00BD0D51" w:rsidRDefault="00BD0D51" w:rsidP="00F4316E">
      <w:pPr>
        <w:spacing w:after="120" w:line="360" w:lineRule="auto"/>
        <w:ind w:left="567" w:right="1695"/>
        <w:rPr>
          <w:rFonts w:ascii="Arial" w:eastAsia="Arial" w:hAnsi="Arial" w:cs="Arial"/>
        </w:rPr>
      </w:pPr>
    </w:p>
    <w:p w14:paraId="65431912" w14:textId="77777777" w:rsidR="00BD0D51" w:rsidRDefault="00BD0D51" w:rsidP="00F4316E">
      <w:pPr>
        <w:spacing w:after="120" w:line="360" w:lineRule="auto"/>
        <w:ind w:left="567" w:right="1695"/>
        <w:rPr>
          <w:rFonts w:ascii="Arial" w:eastAsia="Arial" w:hAnsi="Arial" w:cs="Arial"/>
        </w:rPr>
      </w:pPr>
    </w:p>
    <w:p w14:paraId="764A173F" w14:textId="17D73827" w:rsidR="00BD0D51" w:rsidRDefault="00BD0D51"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691EE49" wp14:editId="20BE3EAC">
            <wp:extent cx="4064400" cy="2880000"/>
            <wp:effectExtent l="0" t="0" r="0" b="3175"/>
            <wp:docPr id="12078931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9313" name="Grafik 1207893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85EA1F" w14:textId="77777777" w:rsidR="00BD0D51" w:rsidRPr="00BD0D51" w:rsidRDefault="00BD0D51" w:rsidP="00BD0D51">
      <w:pPr>
        <w:spacing w:after="120" w:line="360" w:lineRule="auto"/>
        <w:ind w:left="567" w:right="1695"/>
        <w:rPr>
          <w:rFonts w:ascii="Arial" w:eastAsia="Arial" w:hAnsi="Arial" w:cs="Arial"/>
        </w:rPr>
      </w:pPr>
      <w:r>
        <w:rPr>
          <w:rFonts w:ascii="Arial" w:hAnsi="Arial"/>
        </w:rPr>
        <w:t>Trimble GFX 1260 w połączeniu z AMAZONE AmaDrive</w:t>
      </w:r>
    </w:p>
    <w:p w14:paraId="6E5DEABB" w14:textId="77777777" w:rsidR="00BD0D51" w:rsidRDefault="00BD0D51" w:rsidP="00F4316E">
      <w:pPr>
        <w:spacing w:after="120" w:line="360" w:lineRule="auto"/>
        <w:ind w:left="567" w:right="1695"/>
        <w:rPr>
          <w:rFonts w:ascii="Arial" w:eastAsia="Arial" w:hAnsi="Arial" w:cs="Arial"/>
        </w:rPr>
      </w:pPr>
    </w:p>
    <w:p w14:paraId="1BE95015" w14:textId="77777777" w:rsidR="00BD0D51" w:rsidRDefault="00BD0D51" w:rsidP="00F4316E">
      <w:pPr>
        <w:spacing w:after="120" w:line="360" w:lineRule="auto"/>
        <w:ind w:left="567" w:right="1695"/>
        <w:rPr>
          <w:rFonts w:ascii="Arial" w:eastAsia="Arial" w:hAnsi="Arial" w:cs="Arial"/>
        </w:rPr>
      </w:pPr>
    </w:p>
    <w:p w14:paraId="27F19852" w14:textId="060C6E3D" w:rsidR="00BD0D51" w:rsidRDefault="00BD0D51" w:rsidP="00F4316E">
      <w:pPr>
        <w:spacing w:after="120" w:line="360" w:lineRule="auto"/>
        <w:ind w:left="567" w:right="1695"/>
        <w:rPr>
          <w:rFonts w:ascii="Arial" w:eastAsia="Arial" w:hAnsi="Arial" w:cs="Arial"/>
        </w:rPr>
      </w:pPr>
      <w:r>
        <w:rPr>
          <w:rFonts w:ascii="Arial" w:hAnsi="Arial"/>
          <w:noProof/>
        </w:rPr>
        <w:drawing>
          <wp:inline distT="0" distB="0" distL="0" distR="0" wp14:anchorId="25EDD68E" wp14:editId="76D6927A">
            <wp:extent cx="4064400" cy="2880000"/>
            <wp:effectExtent l="0" t="0" r="0" b="3175"/>
            <wp:docPr id="113447205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472059" name="Grafik 11344720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30CF4C" w14:textId="77777777" w:rsidR="00BD0D51" w:rsidRPr="00BD0D51" w:rsidRDefault="00BD0D51" w:rsidP="00BD0D51">
      <w:pPr>
        <w:spacing w:after="120" w:line="360" w:lineRule="auto"/>
        <w:ind w:left="567" w:right="1695"/>
        <w:rPr>
          <w:rFonts w:ascii="Arial" w:eastAsia="Arial" w:hAnsi="Arial" w:cs="Arial"/>
        </w:rPr>
      </w:pPr>
      <w:r>
        <w:rPr>
          <w:rFonts w:ascii="Arial" w:hAnsi="Arial"/>
        </w:rPr>
        <w:t>Antena GPS Trimble NAV 900</w:t>
      </w:r>
    </w:p>
    <w:p w14:paraId="0F43E94C" w14:textId="649665A1" w:rsidR="002222A8" w:rsidRDefault="002222A8">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2A4B12C1" w14:textId="5AB0B85E" w:rsidR="0055336A" w:rsidRPr="0055336A" w:rsidRDefault="00D34808" w:rsidP="0055336A">
      <w:pPr>
        <w:tabs>
          <w:tab w:val="left" w:pos="3550"/>
        </w:tabs>
        <w:spacing w:line="360" w:lineRule="auto"/>
        <w:ind w:left="567" w:right="1128"/>
      </w:pPr>
      <w:r>
        <w:rPr>
          <w:rFonts w:ascii="Arial" w:hAnsi="Arial"/>
          <w:color w:val="808080" w:themeColor="background1" w:themeShade="80"/>
          <w:sz w:val="20"/>
        </w:rPr>
        <w:t>Więcej informacji: </w:t>
      </w:r>
      <w:hyperlink r:id="rId16" w:history="1">
        <w:r w:rsidR="0055336A" w:rsidRPr="00352A69">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6BBAF7" w14:textId="77777777" w:rsidR="00A77614" w:rsidRDefault="00A77614">
      <w:r>
        <w:separator/>
      </w:r>
    </w:p>
  </w:endnote>
  <w:endnote w:type="continuationSeparator" w:id="0">
    <w:p w14:paraId="21A3DB4B" w14:textId="77777777" w:rsidR="00A77614" w:rsidRDefault="00A776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0D0FDE" w14:textId="77777777" w:rsidR="00A77614" w:rsidRDefault="00A77614">
      <w:r>
        <w:separator/>
      </w:r>
    </w:p>
  </w:footnote>
  <w:footnote w:type="continuationSeparator" w:id="0">
    <w:p w14:paraId="2B1BE2F3" w14:textId="77777777" w:rsidR="00A77614" w:rsidRDefault="00A776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num w:numId="1" w16cid:durableId="556358491">
    <w:abstractNumId w:val="6"/>
  </w:num>
  <w:num w:numId="2" w16cid:durableId="1510219160">
    <w:abstractNumId w:val="1"/>
  </w:num>
  <w:num w:numId="3" w16cid:durableId="613364659">
    <w:abstractNumId w:val="4"/>
  </w:num>
  <w:num w:numId="4" w16cid:durableId="1043675452">
    <w:abstractNumId w:val="5"/>
  </w:num>
  <w:num w:numId="5" w16cid:durableId="2011105495">
    <w:abstractNumId w:val="3"/>
  </w:num>
  <w:num w:numId="6" w16cid:durableId="494960578">
    <w:abstractNumId w:val="0"/>
  </w:num>
  <w:num w:numId="7" w16cid:durableId="2097939876">
    <w:abstractNumId w:val="10"/>
  </w:num>
  <w:num w:numId="8" w16cid:durableId="33434184">
    <w:abstractNumId w:val="7"/>
  </w:num>
  <w:num w:numId="9" w16cid:durableId="274018629">
    <w:abstractNumId w:val="8"/>
  </w:num>
  <w:num w:numId="10" w16cid:durableId="1622229493">
    <w:abstractNumId w:val="9"/>
  </w:num>
  <w:num w:numId="11" w16cid:durableId="1404913225">
    <w:abstractNumId w:val="2"/>
  </w:num>
  <w:num w:numId="12" w16cid:durableId="25251257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19D1"/>
    <w:rsid w:val="002222A8"/>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336A"/>
    <w:rsid w:val="005543C9"/>
    <w:rsid w:val="00554D0D"/>
    <w:rsid w:val="00555280"/>
    <w:rsid w:val="00556983"/>
    <w:rsid w:val="00556D16"/>
    <w:rsid w:val="00557A9A"/>
    <w:rsid w:val="00557C11"/>
    <w:rsid w:val="0056057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14"/>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479"/>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0D51"/>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779E0"/>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023B"/>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pl"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825</Words>
  <Characters>5652</Characters>
  <Application>Microsoft Office Word</Application>
  <DocSecurity>0</DocSecurity>
  <Lines>47</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6465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2025-08-18T12:23:00Z</dcterms:created>
  <dcterms:modified xsi:type="dcterms:W3CDTF">2025-09-02T11:30:00Z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