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382E0A" w14:textId="77777777" w:rsidR="007809FE" w:rsidRPr="007809FE" w:rsidRDefault="007809FE" w:rsidP="007809FE">
      <w:pPr>
        <w:spacing w:line="360" w:lineRule="auto"/>
        <w:ind w:left="567" w:right="1695"/>
        <w:rPr>
          <w:rFonts w:ascii="Arial" w:hAnsi="Arial" w:cs="Arial"/>
          <w:b/>
          <w:bCs/>
          <w:sz w:val="28"/>
          <w:szCs w:val="28"/>
        </w:rPr>
      </w:pPr>
      <w:r>
        <w:rPr>
          <w:rFonts w:ascii="Arial" w:hAnsi="Arial"/>
          <w:b/>
          <w:sz w:val="28"/>
        </w:rPr>
        <w:t>Modulación de frecuencia por ancho de pulsos: AmaXact</w:t>
      </w:r>
    </w:p>
    <w:p w14:paraId="5C4B8D72" w14:textId="77777777" w:rsidR="007809FE" w:rsidRPr="007809FE" w:rsidRDefault="007809FE" w:rsidP="007809FE">
      <w:pPr>
        <w:spacing w:line="360" w:lineRule="auto"/>
        <w:ind w:left="567" w:right="1695"/>
        <w:rPr>
          <w:rFonts w:ascii="Arial" w:hAnsi="Arial" w:cs="Arial"/>
          <w:b/>
          <w:bCs/>
        </w:rPr>
      </w:pPr>
      <w:r>
        <w:rPr>
          <w:rFonts w:ascii="Arial" w:hAnsi="Arial"/>
          <w:b/>
        </w:rPr>
        <w:t>Técnica de aplicación a un nuevo nivel</w:t>
      </w:r>
    </w:p>
    <w:p w14:paraId="77523A59" w14:textId="77777777" w:rsidR="00070765" w:rsidRDefault="00070765" w:rsidP="00330541">
      <w:pPr>
        <w:spacing w:line="360" w:lineRule="auto"/>
        <w:ind w:left="567" w:right="1695"/>
        <w:rPr>
          <w:rFonts w:ascii="Arial" w:hAnsi="Arial" w:cs="Arial"/>
        </w:rPr>
      </w:pPr>
    </w:p>
    <w:p w14:paraId="51E96069"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Una aplicación óptima de los productos fitosanitarios es esencial para una protección eficaz de los cultivos. La tecnología de boquillas desempeña aquí un papel decisivo. Los requisitos que debe satisfacer el sistema de boquillas pueden variar en función de las condiciones de funcionamiento. AMAZONE ya ofrece a sus clientes una amplia gama de cuerpos de boquilla: desde el control de anchos parciales con cuerpos de boquilla individuales hasta el cuerpo de boquilla eléctrico AmaSelect con conmutación automática de boquilla. </w:t>
      </w:r>
    </w:p>
    <w:p w14:paraId="0124813A" w14:textId="77777777" w:rsidR="007809FE" w:rsidRPr="007809FE" w:rsidRDefault="007809FE" w:rsidP="007809FE">
      <w:pPr>
        <w:spacing w:after="120" w:line="360" w:lineRule="auto"/>
        <w:ind w:left="567" w:right="1695"/>
        <w:rPr>
          <w:rFonts w:ascii="Arial" w:eastAsia="Arial" w:hAnsi="Arial" w:cs="Arial"/>
        </w:rPr>
      </w:pPr>
    </w:p>
    <w:p w14:paraId="707E42D1" w14:textId="77777777" w:rsidR="007809FE" w:rsidRPr="007809FE" w:rsidRDefault="007809FE" w:rsidP="007809FE">
      <w:pPr>
        <w:spacing w:after="120" w:line="360" w:lineRule="auto"/>
        <w:ind w:left="567" w:right="1695"/>
        <w:rPr>
          <w:rFonts w:ascii="Arial" w:eastAsia="Arial" w:hAnsi="Arial" w:cs="Arial"/>
        </w:rPr>
      </w:pPr>
      <w:r>
        <w:rPr>
          <w:rFonts w:ascii="Arial" w:hAnsi="Arial"/>
        </w:rPr>
        <w:t>Con AmaXact, AMAZONE presenta ahora un cuerpo de boquilla con modulación de la frecuencia por ancho de pulsos, especialmente adecuado para explotaciones con estructuras de superficie de medianas a grandes, así como para la aplicación específica en superficies parciales y la pulverización puntual.</w:t>
      </w:r>
    </w:p>
    <w:p w14:paraId="36D64756" w14:textId="77777777" w:rsidR="007809FE" w:rsidRPr="007809FE" w:rsidRDefault="007809FE" w:rsidP="007809FE">
      <w:pPr>
        <w:spacing w:after="120" w:line="360" w:lineRule="auto"/>
        <w:ind w:left="567" w:right="1695"/>
        <w:rPr>
          <w:rFonts w:ascii="Arial" w:eastAsia="Arial" w:hAnsi="Arial" w:cs="Arial"/>
        </w:rPr>
      </w:pPr>
    </w:p>
    <w:p w14:paraId="557B7366"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Modulación de frecuencia por ancho de pulsos</w:t>
      </w:r>
    </w:p>
    <w:p w14:paraId="7C0702FE" w14:textId="77777777" w:rsidR="007809FE" w:rsidRPr="007809FE" w:rsidRDefault="007809FE" w:rsidP="007809FE">
      <w:pPr>
        <w:spacing w:after="120" w:line="360" w:lineRule="auto"/>
        <w:ind w:left="567" w:right="1695"/>
        <w:rPr>
          <w:rFonts w:ascii="Arial" w:eastAsia="Arial" w:hAnsi="Arial" w:cs="Arial"/>
        </w:rPr>
      </w:pPr>
      <w:r>
        <w:rPr>
          <w:rFonts w:ascii="Arial" w:hAnsi="Arial"/>
        </w:rPr>
        <w:t>Con la tecnología de modulación de frecuencia por ancho de pulsos (PWFM), la válvula del cuerpo de boquilla se abre y se cierra varias veces por segundo, mientras que los tiempos de apertura (anchos de pulsos) pueden ajustarse según sea necesario. Mientras que la dosis de aplicación con cuerpos de boquilla convencionales depende directamente de la presión de pulverización, con el sistema PWFM puede regularse mediante los tiempos de apertura, consiguiendo así un cierto grado de independencia de la presión de pulverización.</w:t>
      </w:r>
    </w:p>
    <w:p w14:paraId="340ABC8A" w14:textId="77777777" w:rsidR="007809FE" w:rsidRPr="007809FE" w:rsidRDefault="007809FE" w:rsidP="007809FE">
      <w:pPr>
        <w:spacing w:after="120" w:line="360" w:lineRule="auto"/>
        <w:ind w:left="567" w:right="1695"/>
        <w:rPr>
          <w:rFonts w:ascii="Arial" w:eastAsia="Arial" w:hAnsi="Arial" w:cs="Arial"/>
        </w:rPr>
      </w:pPr>
    </w:p>
    <w:p w14:paraId="1AEFD420"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La posibilidad de controlar cada válvula PWFM individualmente ofrece una serie de ventajas para la aplicación. Además de la conmutación individual de boquillas para un solapamiento mínimo, ahora se puede conseguir una </w:t>
      </w:r>
      <w:r>
        <w:rPr>
          <w:rFonts w:ascii="Arial" w:hAnsi="Arial"/>
        </w:rPr>
        <w:lastRenderedPageBreak/>
        <w:t xml:space="preserve">compensación de curvas progresiva. El conductor también tiene la opción de variar la velocidad de conducción dentro de un rango determinado sin modificar el tamaño de las gotas. Esto se traduce en una ganancia en términos de rendimiento y calidad de aplicación constante. </w:t>
      </w:r>
    </w:p>
    <w:p w14:paraId="7DA988DE" w14:textId="77777777" w:rsidR="007809FE" w:rsidRPr="007809FE" w:rsidRDefault="007809FE" w:rsidP="007809FE">
      <w:pPr>
        <w:spacing w:after="120" w:line="360" w:lineRule="auto"/>
        <w:ind w:left="567" w:right="1695"/>
        <w:rPr>
          <w:rFonts w:ascii="Arial" w:eastAsia="Arial" w:hAnsi="Arial" w:cs="Arial"/>
        </w:rPr>
      </w:pPr>
    </w:p>
    <w:p w14:paraId="6BF4A428" w14:textId="77777777" w:rsidR="007809FE" w:rsidRPr="007809FE" w:rsidRDefault="007809FE" w:rsidP="007809FE">
      <w:pPr>
        <w:spacing w:after="120" w:line="360" w:lineRule="auto"/>
        <w:ind w:left="567" w:right="1695"/>
        <w:rPr>
          <w:rFonts w:ascii="Arial" w:eastAsia="Arial" w:hAnsi="Arial" w:cs="Arial"/>
        </w:rPr>
      </w:pPr>
      <w:r>
        <w:rPr>
          <w:rFonts w:ascii="Arial" w:hAnsi="Arial"/>
        </w:rPr>
        <w:t>Otra ventaja importante se observa en el ámbito de la agricultura de precisión. El control individual de las válvulas permite una aplicación precisa y específica para superficies parciales, incluso dentro de la anchura del varillaje. Gracias a la alta velocidad de conmutación de las válvulas, el sistema también es ideal para la aplicación puntual con el objetivo de conseguir el máximo ahorro con puntos de poca superficie.</w:t>
      </w:r>
    </w:p>
    <w:p w14:paraId="234A87F2" w14:textId="77777777" w:rsidR="007809FE" w:rsidRPr="007809FE" w:rsidRDefault="007809FE" w:rsidP="007809FE">
      <w:pPr>
        <w:spacing w:after="120" w:line="360" w:lineRule="auto"/>
        <w:ind w:left="567" w:right="1695"/>
        <w:rPr>
          <w:rFonts w:ascii="Arial" w:eastAsia="Arial" w:hAnsi="Arial" w:cs="Arial"/>
        </w:rPr>
      </w:pPr>
    </w:p>
    <w:p w14:paraId="7D4E1AAA" w14:textId="77777777" w:rsidR="007809FE" w:rsidRPr="007809FE" w:rsidRDefault="007809FE" w:rsidP="007809FE">
      <w:pPr>
        <w:spacing w:after="120" w:line="360" w:lineRule="auto"/>
        <w:ind w:left="567" w:right="1695"/>
        <w:rPr>
          <w:rFonts w:ascii="Arial" w:eastAsia="Arial" w:hAnsi="Arial" w:cs="Arial"/>
        </w:rPr>
      </w:pPr>
      <w:r>
        <w:rPr>
          <w:rFonts w:ascii="Arial" w:hAnsi="Arial"/>
        </w:rPr>
        <w:t>Para una aplicación puntual precisa, además de una alta velocidad de conmutación, es esencial asimismo una regulación de la presión especialmente rápida y precisa a fin de mantener con exactitud la dosis de aplicación también en los puntos concretos. AMAZONE ha desarrollado especialmente para el sistema AmaXact el regulador de presión hidráulico DynamicFlow, que permite una regulación de la presión extremadamente rápida y que optimiza así la precisión de aplicación tanto en la aplicación puntual como en la aplicación en superficie.</w:t>
      </w:r>
    </w:p>
    <w:p w14:paraId="3861DE19" w14:textId="77777777" w:rsidR="007809FE" w:rsidRPr="007809FE" w:rsidRDefault="007809FE" w:rsidP="007809FE">
      <w:pPr>
        <w:spacing w:after="120" w:line="360" w:lineRule="auto"/>
        <w:ind w:left="567" w:right="1695"/>
        <w:rPr>
          <w:rFonts w:ascii="Arial" w:eastAsia="Arial" w:hAnsi="Arial" w:cs="Arial"/>
        </w:rPr>
      </w:pPr>
    </w:p>
    <w:p w14:paraId="1D9245F7" w14:textId="77777777" w:rsidR="007809FE" w:rsidRPr="007809FE" w:rsidRDefault="007809FE" w:rsidP="007809FE">
      <w:pPr>
        <w:spacing w:after="120" w:line="360" w:lineRule="auto"/>
        <w:ind w:left="567" w:right="1695"/>
        <w:rPr>
          <w:rFonts w:ascii="Arial" w:eastAsia="Arial" w:hAnsi="Arial" w:cs="Arial"/>
          <w:b/>
          <w:bCs/>
        </w:rPr>
      </w:pPr>
      <w:r>
        <w:rPr>
          <w:rFonts w:ascii="Arial" w:hAnsi="Arial"/>
          <w:b/>
        </w:rPr>
        <w:t>Concepto de manejo intuitivo</w:t>
      </w:r>
    </w:p>
    <w:p w14:paraId="0F92E941" w14:textId="77777777" w:rsidR="007809FE" w:rsidRPr="007809FE" w:rsidRDefault="007809FE" w:rsidP="007809FE">
      <w:pPr>
        <w:spacing w:after="120" w:line="360" w:lineRule="auto"/>
        <w:ind w:left="567" w:right="1695"/>
        <w:rPr>
          <w:rFonts w:ascii="Arial" w:eastAsia="Arial" w:hAnsi="Arial" w:cs="Arial"/>
        </w:rPr>
      </w:pPr>
      <w:r>
        <w:rPr>
          <w:rFonts w:ascii="Arial" w:hAnsi="Arial"/>
        </w:rPr>
        <w:t>AmaXact es un desarrollo propio de AMAZONE. Así pues, el sistema no solo cumple los elevados estándares de calidad propios de AMAZONE, sino que también ofrece al cliente una integración completa en el software y, por tanto, un manejo especialmente sencillo y claro. El conductor solo tiene que introducir el tamaño de gota deseado y obtiene un intervalo de velocidad dentro del cual puede circular. El conductor también tiene la opción de reaccionar con flexibilidad ante situaciones especiales del cultivo ajustando manualmente la dosis de aplicación en determinadas zonas.</w:t>
      </w:r>
    </w:p>
    <w:p w14:paraId="120B11E5" w14:textId="77777777" w:rsidR="007809FE" w:rsidRPr="007809FE" w:rsidRDefault="007809FE" w:rsidP="007809FE">
      <w:pPr>
        <w:spacing w:after="120" w:line="360" w:lineRule="auto"/>
        <w:ind w:left="567" w:right="1695"/>
        <w:rPr>
          <w:rFonts w:ascii="Arial" w:eastAsia="Arial" w:hAnsi="Arial" w:cs="Arial"/>
        </w:rPr>
      </w:pPr>
    </w:p>
    <w:p w14:paraId="4DBA4945"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Gracias a la plena integración del sistema, en el futuro será posible conectarse digitalmente a la plataforma de datos basada en la nube AmaConnect. La interconexión inteligente de la máquina sienta las bases para funciones inteligentes centradas en el apoyo a la toma de decisiones, la automatización, la supervisión de procesos y el aseguramiento de la calidad mediante el uso de datos en tiempo real y sistemas digitales de asistencia. </w:t>
      </w:r>
    </w:p>
    <w:p w14:paraId="7E99B60D" w14:textId="77777777" w:rsidR="007809FE" w:rsidRPr="007809FE" w:rsidRDefault="007809FE" w:rsidP="007809FE">
      <w:pPr>
        <w:spacing w:after="120" w:line="360" w:lineRule="auto"/>
        <w:ind w:left="567" w:right="1695"/>
        <w:rPr>
          <w:rFonts w:ascii="Arial" w:eastAsia="Arial" w:hAnsi="Arial" w:cs="Arial"/>
        </w:rPr>
      </w:pPr>
    </w:p>
    <w:p w14:paraId="69EA16B1"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Mejor calidad de aplicación mediante modulación de frecuencia</w:t>
      </w:r>
    </w:p>
    <w:p w14:paraId="54757BCF" w14:textId="77777777" w:rsidR="007809FE" w:rsidRPr="007809FE" w:rsidRDefault="007809FE" w:rsidP="007809FE">
      <w:pPr>
        <w:spacing w:after="120" w:line="360" w:lineRule="auto"/>
        <w:ind w:left="567" w:right="1695"/>
        <w:rPr>
          <w:rFonts w:ascii="Arial" w:eastAsia="Arial" w:hAnsi="Arial" w:cs="Arial"/>
        </w:rPr>
      </w:pPr>
      <w:r>
        <w:rPr>
          <w:rFonts w:ascii="Arial" w:hAnsi="Arial"/>
        </w:rPr>
        <w:t>Con AmaXact, AMAZONE va un paso más allá para resolver los retos de los sistemas convencionales de modulación por ancho de pulsos (PWM). Con el PWFM, además del tiempo de apertura de las válvulas se controla también el número de ciclos de conmutación. Esto se traduce en una ventaja decisiva: en determinadas situaciones de conducción, en especial en combinación con velocidades de conducción elevadas, los sistemas PWM convencionales pueden generar una distribución longitudinal imprecisa, que luego resulta incluso visible en los cultivos. Esto ocurre debido a la distancia que recorre el varillaje mientras la boquilla está cerrada. AmaXact aumenta automáticamente la frecuencia de conmutación en estas situaciones de conducción para evitar una distribución inexacta.</w:t>
      </w:r>
    </w:p>
    <w:p w14:paraId="3A1BA98A" w14:textId="77777777" w:rsidR="007809FE" w:rsidRPr="007809FE" w:rsidRDefault="007809FE" w:rsidP="007809FE">
      <w:pPr>
        <w:spacing w:after="120" w:line="360" w:lineRule="auto"/>
        <w:ind w:left="567" w:right="1695"/>
        <w:rPr>
          <w:rFonts w:ascii="Arial" w:eastAsia="Arial" w:hAnsi="Arial" w:cs="Arial"/>
        </w:rPr>
      </w:pPr>
    </w:p>
    <w:p w14:paraId="5243D7D7"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Regulación de la presión: rango de trabajo mayor y minimización del desgaste</w:t>
      </w:r>
    </w:p>
    <w:p w14:paraId="0FBC429A" w14:textId="77777777" w:rsidR="007809FE" w:rsidRPr="007809FE" w:rsidRDefault="007809FE" w:rsidP="007809FE">
      <w:pPr>
        <w:spacing w:after="120" w:line="360" w:lineRule="auto"/>
        <w:ind w:left="567" w:right="1695"/>
        <w:rPr>
          <w:rFonts w:ascii="Arial" w:eastAsia="Arial" w:hAnsi="Arial" w:cs="Arial"/>
        </w:rPr>
      </w:pPr>
      <w:r>
        <w:rPr>
          <w:rFonts w:ascii="Arial" w:hAnsi="Arial"/>
        </w:rPr>
        <w:t>En comparación con la conmutación automática de diferentes boquillas, la PWM tiene la ventaja de que funciona de forma continua con una sola boquilla y ofrece siempre la misma calidad de aplicación dentro de un rango de trabajo determinado. Al mismo tiempo, la desventaja de la tecnología PWM convencional puede ser que este rango de trabajo sea menor, ya que la calidad de la aplicación disminuye si los tiempos de apertura son demasiado cortos.</w:t>
      </w:r>
    </w:p>
    <w:p w14:paraId="4453CC36" w14:textId="77777777" w:rsidR="007809FE" w:rsidRPr="007809FE" w:rsidRDefault="007809FE" w:rsidP="007809FE">
      <w:pPr>
        <w:spacing w:after="120" w:line="360" w:lineRule="auto"/>
        <w:ind w:left="567" w:right="1695"/>
        <w:rPr>
          <w:rFonts w:ascii="Arial" w:eastAsia="Arial" w:hAnsi="Arial" w:cs="Arial"/>
        </w:rPr>
      </w:pPr>
    </w:p>
    <w:p w14:paraId="5DCE0B48" w14:textId="77777777" w:rsidR="007809FE" w:rsidRPr="007809FE" w:rsidRDefault="007809FE" w:rsidP="007809FE">
      <w:pPr>
        <w:spacing w:after="120" w:line="360" w:lineRule="auto"/>
        <w:ind w:left="567" w:right="1695"/>
        <w:rPr>
          <w:rFonts w:ascii="Arial" w:eastAsia="Arial" w:hAnsi="Arial" w:cs="Arial"/>
        </w:rPr>
      </w:pPr>
      <w:r>
        <w:rPr>
          <w:rFonts w:ascii="Arial" w:hAnsi="Arial"/>
        </w:rPr>
        <w:lastRenderedPageBreak/>
        <w:t>AmaXact también ofrece una solución para ello con la tecnología PWFM. Para aumentar el rango de trabajo, se puede introducir un rango de presión en el que la boquilla genere el tamaño de gota deseado en lugar de un único valor de presión. AmaXact regula automáticamente la presión, la frecuencia y los tiempos de apertura para que la calidad de aplicación se mantenga siempre alta y, al mismo tiempo, sea posible un rango de trabajo hasta un 87 % mayor en términos de velocidad y dosis de aplicación. Este principio se utiliza también en la compensación de curvas CurveControl Flex, en la que el sistema alcanza la dosis de aplicación deseada incluso en curvas cerradas y a velocidades de conducción variables gracias a la regulación de la presión.</w:t>
      </w:r>
    </w:p>
    <w:p w14:paraId="4493B6ED" w14:textId="77777777" w:rsidR="007809FE" w:rsidRPr="007809FE" w:rsidRDefault="007809FE" w:rsidP="007809FE">
      <w:pPr>
        <w:spacing w:after="120" w:line="360" w:lineRule="auto"/>
        <w:ind w:left="567" w:right="1695"/>
        <w:rPr>
          <w:rFonts w:ascii="Arial" w:eastAsia="Arial" w:hAnsi="Arial" w:cs="Arial"/>
        </w:rPr>
      </w:pPr>
    </w:p>
    <w:p w14:paraId="46727DE0" w14:textId="71DD7FE8" w:rsidR="00A83D7A" w:rsidRDefault="007809FE" w:rsidP="007809FE">
      <w:pPr>
        <w:spacing w:after="120" w:line="360" w:lineRule="auto"/>
        <w:ind w:left="567" w:right="1695"/>
        <w:rPr>
          <w:rFonts w:ascii="Arial" w:eastAsia="Arial" w:hAnsi="Arial" w:cs="Arial"/>
        </w:rPr>
      </w:pPr>
      <w:r>
        <w:rPr>
          <w:rFonts w:ascii="Arial" w:hAnsi="Arial"/>
        </w:rPr>
        <w:t>El control de la presión se utiliza asimismo para reducir los ciclos de conmutación y, por consiguiente, prolongar la vida útil de las válvulas. Con un DutyCycle elevado, el sistema conmuta automáticamente del pulso a la apertura continua de las boquillas. De este modo, se reduce significativamente el número de ciclos de conmutación, dependiendo de la situación de conducción. Mientras tanto, la regulación de las cantidades se lleva a cabo mediante la regulación de la presión en el rango de presión predefinido. La calidad de aplicación se mantiene constante, mientras que el desgaste se reduce al mínimo.</w:t>
      </w:r>
    </w:p>
    <w:p w14:paraId="526C72CC" w14:textId="77777777" w:rsidR="00F10E9A" w:rsidRDefault="00F10E9A" w:rsidP="007809FE">
      <w:pPr>
        <w:spacing w:after="120" w:line="360" w:lineRule="auto"/>
        <w:ind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FDF299" w14:textId="7EF7AD69"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Aplicación específica para superficies parciales de pequeña superficie y pulverización puntual precisa</w:t>
      </w:r>
    </w:p>
    <w:p w14:paraId="4B508104" w14:textId="1C8BB139"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 xml:space="preserve">Concepto de manejo especialmente sencillo y cómodo </w:t>
      </w:r>
    </w:p>
    <w:p w14:paraId="6A726173" w14:textId="2D050D00"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Larga vida útil gracias a la minimización inteligente del desgaste</w:t>
      </w:r>
    </w:p>
    <w:p w14:paraId="4111614D" w14:textId="78939794"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Calidad de aplicación perfecta incluso en zonas límite</w:t>
      </w:r>
    </w:p>
    <w:p w14:paraId="52CEAFB9" w14:textId="1951AE7E"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lastRenderedPageBreak/>
        <w:t>Amplio rango de velocidades y volúmenes con una sola boquilla para una máxima flexibilidad y rendimiento</w:t>
      </w:r>
    </w:p>
    <w:p w14:paraId="108F8063" w14:textId="77777777" w:rsidR="00F10E9A" w:rsidRDefault="00F10E9A" w:rsidP="00F10E9A">
      <w:pPr>
        <w:spacing w:after="120" w:line="360" w:lineRule="auto"/>
        <w:ind w:right="1695"/>
        <w:rPr>
          <w:rFonts w:ascii="Arial" w:eastAsia="Arial" w:hAnsi="Arial" w:cs="Arial"/>
        </w:rPr>
      </w:pPr>
    </w:p>
    <w:p w14:paraId="3DEB92D4" w14:textId="77777777" w:rsidR="00F10E9A" w:rsidRDefault="00F10E9A" w:rsidP="00F10E9A">
      <w:pPr>
        <w:spacing w:after="120" w:line="360" w:lineRule="auto"/>
        <w:ind w:right="1695"/>
        <w:rPr>
          <w:rFonts w:ascii="Arial" w:eastAsia="Arial" w:hAnsi="Arial" w:cs="Arial"/>
        </w:rPr>
      </w:pPr>
    </w:p>
    <w:p w14:paraId="6F57D071" w14:textId="77777777" w:rsidR="00EA6E12" w:rsidRDefault="00EA6E12" w:rsidP="00EA6E12">
      <w:pPr>
        <w:spacing w:after="120" w:line="360" w:lineRule="auto"/>
        <w:ind w:right="1695"/>
        <w:rPr>
          <w:rFonts w:ascii="Arial" w:eastAsia="Arial" w:hAnsi="Arial" w:cs="Arial"/>
        </w:rPr>
      </w:pPr>
    </w:p>
    <w:p w14:paraId="16E4748B" w14:textId="4B9E6FA4"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182DB748" wp14:editId="63DE0205">
            <wp:extent cx="3477600" cy="2880000"/>
            <wp:effectExtent l="0" t="0" r="2540" b="3175"/>
            <wp:docPr id="186966487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64879" name="Grafik 186966487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07B95EC" w14:textId="77777777" w:rsidR="00EA6E12" w:rsidRPr="00EA6E12" w:rsidRDefault="00EA6E12" w:rsidP="00EA6E12">
      <w:pPr>
        <w:spacing w:after="120" w:line="360" w:lineRule="auto"/>
        <w:ind w:left="567" w:right="1695"/>
        <w:rPr>
          <w:rFonts w:ascii="Arial" w:eastAsia="Arial" w:hAnsi="Arial" w:cs="Arial"/>
        </w:rPr>
      </w:pPr>
      <w:r>
        <w:rPr>
          <w:rFonts w:ascii="Arial" w:hAnsi="Arial"/>
        </w:rPr>
        <w:t>Modulación de frecuencia por ancho de pulsos AmaXact en una UX 7601</w:t>
      </w:r>
    </w:p>
    <w:p w14:paraId="6A68208F" w14:textId="77777777" w:rsidR="00EA6E12" w:rsidRDefault="00EA6E12" w:rsidP="00EA6E12">
      <w:pPr>
        <w:spacing w:after="120" w:line="360" w:lineRule="auto"/>
        <w:ind w:left="567" w:right="1695"/>
        <w:rPr>
          <w:rFonts w:ascii="Arial" w:eastAsia="Arial" w:hAnsi="Arial" w:cs="Arial"/>
        </w:rPr>
      </w:pPr>
    </w:p>
    <w:p w14:paraId="1C3D0F1E" w14:textId="77777777" w:rsidR="00EA6E12" w:rsidRDefault="00EA6E12" w:rsidP="00EA6E12">
      <w:pPr>
        <w:spacing w:after="120" w:line="360" w:lineRule="auto"/>
        <w:ind w:left="567" w:right="1695"/>
        <w:rPr>
          <w:rFonts w:ascii="Arial" w:eastAsia="Arial" w:hAnsi="Arial" w:cs="Arial"/>
        </w:rPr>
      </w:pPr>
    </w:p>
    <w:p w14:paraId="23D12B9B" w14:textId="67D11E36"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5C80FD85" wp14:editId="74510948">
            <wp:extent cx="1440000" cy="1440000"/>
            <wp:effectExtent l="0" t="0" r="0" b="0"/>
            <wp:docPr id="9563443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4439" name="Grafik 9563443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FEB6CCF" w14:textId="77777777" w:rsidR="00EA6E12" w:rsidRPr="00EA6E12" w:rsidRDefault="00EA6E12" w:rsidP="00EA6E12">
      <w:pPr>
        <w:spacing w:after="120" w:line="360" w:lineRule="auto"/>
        <w:ind w:left="567" w:right="1695"/>
        <w:rPr>
          <w:rFonts w:ascii="Arial" w:eastAsia="Arial" w:hAnsi="Arial" w:cs="Arial"/>
          <w:b/>
          <w:bCs/>
        </w:rPr>
      </w:pPr>
      <w:r>
        <w:rPr>
          <w:rFonts w:ascii="Arial" w:hAnsi="Arial"/>
        </w:rPr>
        <w:t xml:space="preserve">Vídeo: </w:t>
      </w:r>
      <w:r>
        <w:rPr>
          <w:rFonts w:ascii="Arial" w:hAnsi="Arial"/>
        </w:rPr>
        <w:br/>
      </w:r>
      <w:r>
        <w:rPr>
          <w:rFonts w:ascii="Arial" w:hAnsi="Arial"/>
          <w:b/>
        </w:rPr>
        <w:t>www.amazone.net/yt-AmaXact</w:t>
      </w:r>
    </w:p>
    <w:p w14:paraId="6E6C9099" w14:textId="77777777" w:rsidR="00EA6E12" w:rsidRDefault="00EA6E12" w:rsidP="00EA6E12">
      <w:pPr>
        <w:spacing w:after="120" w:line="360" w:lineRule="auto"/>
        <w:ind w:left="567" w:right="1695"/>
        <w:rPr>
          <w:rFonts w:ascii="Arial" w:eastAsia="Arial" w:hAnsi="Arial" w:cs="Arial"/>
        </w:rPr>
      </w:pPr>
    </w:p>
    <w:p w14:paraId="2D38E833" w14:textId="77777777" w:rsidR="00EA6E12" w:rsidRDefault="00EA6E12" w:rsidP="00EA6E12">
      <w:pPr>
        <w:spacing w:after="120" w:line="360" w:lineRule="auto"/>
        <w:ind w:left="567" w:right="1695"/>
        <w:rPr>
          <w:rFonts w:ascii="Arial" w:eastAsia="Arial" w:hAnsi="Arial" w:cs="Arial"/>
        </w:rPr>
      </w:pPr>
    </w:p>
    <w:p w14:paraId="731FB3A0" w14:textId="36883A72"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336F1F8" wp14:editId="7A1AE1B0">
            <wp:extent cx="6120000" cy="2109600"/>
            <wp:effectExtent l="0" t="0" r="1905" b="0"/>
            <wp:docPr id="83479511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95116" name="Grafik 83479511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58D3798" w14:textId="77777777" w:rsidR="00EA6E12" w:rsidRPr="00EA6E12" w:rsidRDefault="00EA6E12" w:rsidP="00EA6E12">
      <w:pPr>
        <w:spacing w:after="120" w:line="360" w:lineRule="auto"/>
        <w:ind w:left="567" w:right="1695"/>
        <w:rPr>
          <w:rFonts w:ascii="Arial" w:eastAsia="Arial" w:hAnsi="Arial" w:cs="Arial"/>
        </w:rPr>
      </w:pPr>
      <w:r>
        <w:rPr>
          <w:rFonts w:ascii="Arial" w:hAnsi="Arial"/>
        </w:rPr>
        <w:t>Salida pulsante de la boquilla para la regulación de la dosis de aplicación independiente de la presión</w:t>
      </w:r>
    </w:p>
    <w:p w14:paraId="59B214BC" w14:textId="77777777" w:rsidR="00EA6E12" w:rsidRDefault="00EA6E12" w:rsidP="00EA6E12">
      <w:pPr>
        <w:spacing w:after="120" w:line="360" w:lineRule="auto"/>
        <w:ind w:left="567" w:right="1695"/>
        <w:rPr>
          <w:rFonts w:ascii="Arial" w:eastAsia="Arial" w:hAnsi="Arial" w:cs="Arial"/>
        </w:rPr>
      </w:pPr>
    </w:p>
    <w:p w14:paraId="0CDC2114" w14:textId="77777777" w:rsidR="00EA6E12" w:rsidRDefault="00EA6E12" w:rsidP="00EA6E12">
      <w:pPr>
        <w:spacing w:after="120" w:line="360" w:lineRule="auto"/>
        <w:ind w:left="567" w:right="1695"/>
        <w:rPr>
          <w:rFonts w:ascii="Arial" w:eastAsia="Arial" w:hAnsi="Arial" w:cs="Arial"/>
        </w:rPr>
      </w:pPr>
    </w:p>
    <w:p w14:paraId="155162B3" w14:textId="1F83220F"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04BE6C53" wp14:editId="3C3FE401">
            <wp:extent cx="4064400" cy="2880000"/>
            <wp:effectExtent l="0" t="0" r="0" b="3175"/>
            <wp:docPr id="2132829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2959" name="Grafik 2132829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BDFE849" w14:textId="77777777" w:rsidR="00EA6E12" w:rsidRPr="00EA6E12" w:rsidRDefault="00EA6E12" w:rsidP="00EA6E12">
      <w:pPr>
        <w:spacing w:after="120" w:line="360" w:lineRule="auto"/>
        <w:ind w:left="567" w:right="1695"/>
        <w:rPr>
          <w:rFonts w:ascii="Arial" w:eastAsia="Arial" w:hAnsi="Arial" w:cs="Arial"/>
        </w:rPr>
      </w:pPr>
      <w:r>
        <w:rPr>
          <w:rFonts w:ascii="Arial" w:hAnsi="Arial"/>
        </w:rPr>
        <w:t xml:space="preserve">Concepto de manejo claro y sencillo </w:t>
      </w:r>
    </w:p>
    <w:p w14:paraId="4826B4F2" w14:textId="77777777" w:rsidR="00EA6E12" w:rsidRDefault="00EA6E12" w:rsidP="00EA6E12">
      <w:pPr>
        <w:spacing w:after="120" w:line="360" w:lineRule="auto"/>
        <w:ind w:left="567" w:right="1695"/>
        <w:rPr>
          <w:rFonts w:ascii="Arial" w:eastAsia="Arial" w:hAnsi="Arial" w:cs="Arial"/>
        </w:rPr>
      </w:pPr>
    </w:p>
    <w:p w14:paraId="35896AAC" w14:textId="77777777" w:rsidR="00EA6E12" w:rsidRDefault="00EA6E12" w:rsidP="00EA6E12">
      <w:pPr>
        <w:spacing w:after="120" w:line="360" w:lineRule="auto"/>
        <w:ind w:left="567" w:right="1695"/>
        <w:rPr>
          <w:rFonts w:ascii="Arial" w:eastAsia="Arial" w:hAnsi="Arial" w:cs="Arial"/>
        </w:rPr>
      </w:pPr>
    </w:p>
    <w:p w14:paraId="456982F0" w14:textId="0522613B"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2F8B75A" wp14:editId="14E1F9FC">
            <wp:extent cx="4064400" cy="2880000"/>
            <wp:effectExtent l="0" t="0" r="0" b="3175"/>
            <wp:docPr id="140778277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782775" name="Grafik 140778277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D19396A" w14:textId="77777777" w:rsidR="00EA6E12" w:rsidRPr="00EA6E12" w:rsidRDefault="00EA6E12" w:rsidP="00EA6E12">
      <w:pPr>
        <w:spacing w:after="120" w:line="360" w:lineRule="auto"/>
        <w:ind w:left="567" w:right="1695"/>
        <w:rPr>
          <w:rFonts w:ascii="Arial" w:eastAsia="Arial" w:hAnsi="Arial" w:cs="Arial"/>
        </w:rPr>
      </w:pPr>
      <w:r>
        <w:rPr>
          <w:rFonts w:ascii="Arial" w:hAnsi="Arial"/>
        </w:rPr>
        <w:t>Adaptación manual de la dosis de aplicación en anchos parciales</w:t>
      </w:r>
    </w:p>
    <w:p w14:paraId="4DC441B2" w14:textId="77777777" w:rsidR="00EA6E12" w:rsidRDefault="00EA6E12" w:rsidP="00EA6E12">
      <w:pPr>
        <w:spacing w:after="120" w:line="360" w:lineRule="auto"/>
        <w:ind w:left="567" w:right="1695"/>
        <w:rPr>
          <w:rFonts w:ascii="Arial" w:eastAsia="Arial" w:hAnsi="Arial" w:cs="Arial"/>
        </w:rPr>
      </w:pPr>
    </w:p>
    <w:p w14:paraId="30F5BE8D" w14:textId="77777777" w:rsidR="00EA6E12" w:rsidRDefault="00EA6E12" w:rsidP="00EA6E12">
      <w:pPr>
        <w:spacing w:after="120" w:line="360" w:lineRule="auto"/>
        <w:ind w:left="567" w:right="1695"/>
        <w:rPr>
          <w:rFonts w:ascii="Arial" w:eastAsia="Arial" w:hAnsi="Arial" w:cs="Arial"/>
        </w:rPr>
      </w:pPr>
    </w:p>
    <w:p w14:paraId="1F609154" w14:textId="4028C05D"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766891DD" wp14:editId="19891CC7">
            <wp:extent cx="4064400" cy="2876244"/>
            <wp:effectExtent l="0" t="0" r="0" b="635"/>
            <wp:docPr id="1800135041"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135041" name="Grafik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008FFCCB" w14:textId="4C201072"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523C8B3" wp14:editId="4B15AC8B">
            <wp:extent cx="4064400" cy="2876244"/>
            <wp:effectExtent l="0" t="0" r="0" b="635"/>
            <wp:docPr id="12609603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60396" name="Grafik 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76D90039" w14:textId="77777777" w:rsidR="00EA6E12" w:rsidRPr="00EA6E12" w:rsidRDefault="00EA6E12" w:rsidP="00EA6E12">
      <w:pPr>
        <w:spacing w:after="120" w:line="360" w:lineRule="auto"/>
        <w:ind w:left="567" w:right="1695"/>
        <w:rPr>
          <w:rFonts w:ascii="Arial" w:eastAsia="Arial" w:hAnsi="Arial" w:cs="Arial"/>
        </w:rPr>
      </w:pPr>
      <w:r>
        <w:rPr>
          <w:rFonts w:ascii="Arial" w:hAnsi="Arial"/>
        </w:rPr>
        <w:t>Evitar los huecos de aplicación, especialmente a altas velocidades de conducción</w:t>
      </w:r>
    </w:p>
    <w:p w14:paraId="0EE509DD" w14:textId="77777777" w:rsidR="00EA6E12" w:rsidRDefault="00EA6E12" w:rsidP="00EA6E12">
      <w:pPr>
        <w:spacing w:after="120" w:line="360" w:lineRule="auto"/>
        <w:ind w:left="567" w:right="1695"/>
        <w:rPr>
          <w:rFonts w:ascii="Arial" w:eastAsia="Arial" w:hAnsi="Arial" w:cs="Arial"/>
        </w:rPr>
      </w:pPr>
    </w:p>
    <w:p w14:paraId="7CC3FE19" w14:textId="77777777" w:rsidR="00EA6E12" w:rsidRDefault="00EA6E12" w:rsidP="00EA6E12">
      <w:pPr>
        <w:spacing w:after="120" w:line="360" w:lineRule="auto"/>
        <w:ind w:left="567" w:right="1695"/>
        <w:rPr>
          <w:rFonts w:ascii="Arial" w:eastAsia="Arial" w:hAnsi="Arial" w:cs="Arial"/>
        </w:rPr>
      </w:pPr>
    </w:p>
    <w:p w14:paraId="15A7E203" w14:textId="296C8DC0"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4486C243" wp14:editId="3EBF470E">
            <wp:extent cx="6527430" cy="1623600"/>
            <wp:effectExtent l="0" t="0" r="6985" b="0"/>
            <wp:docPr id="1201300818"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00818" name="Grafik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527430" cy="1623600"/>
                    </a:xfrm>
                    <a:prstGeom prst="rect">
                      <a:avLst/>
                    </a:prstGeom>
                  </pic:spPr>
                </pic:pic>
              </a:graphicData>
            </a:graphic>
          </wp:inline>
        </w:drawing>
      </w:r>
    </w:p>
    <w:p w14:paraId="4A730FCF" w14:textId="77777777" w:rsidR="00EA6E12" w:rsidRDefault="00EA6E12" w:rsidP="00EA6E12">
      <w:pPr>
        <w:spacing w:after="120" w:line="360" w:lineRule="auto"/>
        <w:ind w:left="567" w:right="1695"/>
        <w:rPr>
          <w:rFonts w:ascii="Arial" w:eastAsia="Arial" w:hAnsi="Arial" w:cs="Arial"/>
        </w:rPr>
      </w:pPr>
    </w:p>
    <w:p w14:paraId="1736DC24" w14:textId="428172FF" w:rsidR="00133875" w:rsidRDefault="00133875">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7"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298D18" w14:textId="77777777" w:rsidR="00404EFB" w:rsidRDefault="00404EFB">
      <w:r>
        <w:separator/>
      </w:r>
    </w:p>
  </w:endnote>
  <w:endnote w:type="continuationSeparator" w:id="0">
    <w:p w14:paraId="480AC43D" w14:textId="77777777" w:rsidR="00404EFB" w:rsidRDefault="00404E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9F5E0E" w14:textId="77777777" w:rsidR="00404EFB" w:rsidRDefault="00404EFB">
      <w:r>
        <w:separator/>
      </w:r>
    </w:p>
  </w:footnote>
  <w:footnote w:type="continuationSeparator" w:id="0">
    <w:p w14:paraId="43AC1B47" w14:textId="77777777" w:rsidR="00404EFB" w:rsidRDefault="00404E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3"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29"/>
  </w:num>
  <w:num w:numId="8" w16cid:durableId="33434184">
    <w:abstractNumId w:val="24"/>
  </w:num>
  <w:num w:numId="9" w16cid:durableId="274018629">
    <w:abstractNumId w:val="27"/>
  </w:num>
  <w:num w:numId="10" w16cid:durableId="1622229493">
    <w:abstractNumId w:val="28"/>
  </w:num>
  <w:num w:numId="11" w16cid:durableId="280575959">
    <w:abstractNumId w:val="25"/>
  </w:num>
  <w:num w:numId="12" w16cid:durableId="169492611">
    <w:abstractNumId w:val="31"/>
  </w:num>
  <w:num w:numId="13" w16cid:durableId="711804392">
    <w:abstractNumId w:val="32"/>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3"/>
  </w:num>
  <w:num w:numId="19" w16cid:durableId="595864091">
    <w:abstractNumId w:val="14"/>
  </w:num>
  <w:num w:numId="20" w16cid:durableId="2085832550">
    <w:abstractNumId w:val="26"/>
  </w:num>
  <w:num w:numId="21" w16cid:durableId="1235970655">
    <w:abstractNumId w:val="0"/>
  </w:num>
  <w:num w:numId="22" w16cid:durableId="454446071">
    <w:abstractNumId w:val="13"/>
  </w:num>
  <w:num w:numId="23" w16cid:durableId="1538158893">
    <w:abstractNumId w:val="5"/>
  </w:num>
  <w:num w:numId="24" w16cid:durableId="1042562684">
    <w:abstractNumId w:val="30"/>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3875"/>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54E"/>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50F"/>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4EFB"/>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CFE"/>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57F5"/>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6E12"/>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es"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1176</Words>
  <Characters>7411</Characters>
  <Application>Microsoft Office Word</Application>
  <DocSecurity>0</DocSecurity>
  <Lines>61</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8570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2025-08-18T12:14:00Z</dcterms:created>
  <dcterms:modified xsi:type="dcterms:W3CDTF">2025-09-01T12:16:00Z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