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Pr>
          <w:rFonts w:ascii="Arial" w:hAnsi="Arial"/>
          <w:b/>
          <w:sz w:val="28"/>
        </w:rPr>
        <w:t>Pulsbreedte-frequentiemodulatie: AmaXact</w:t>
      </w:r>
    </w:p>
    <w:p w14:paraId="5C4B8D72" w14:textId="77777777" w:rsidR="007809FE" w:rsidRPr="007809FE" w:rsidRDefault="007809FE" w:rsidP="007809FE">
      <w:pPr>
        <w:spacing w:line="360" w:lineRule="auto"/>
        <w:ind w:left="567" w:right="1695"/>
        <w:rPr>
          <w:rFonts w:ascii="Arial" w:hAnsi="Arial" w:cs="Arial"/>
          <w:b/>
          <w:bCs/>
        </w:rPr>
      </w:pPr>
      <w:r>
        <w:rPr>
          <w:rFonts w:ascii="Arial" w:hAnsi="Arial"/>
          <w:b/>
        </w:rPr>
        <w:t>Toedieningstechniek op een nieuw niveau</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Voor effectieve gewasbescherming is de optimale toediening van gewasbeschermingsmiddelen essentieel. Hierbij speelt de doptechnologie een beslissende rol. Afhankelijk van de bedrijfsomstandigheden kunnen de vereisten voor het dopsysteem verschillend zijn. Tot nu toe biedt AMAZONE de klant al een grote keuze aan dophouders – van sectieschakeling met enkelvoudige dophouders tot de elektrische AmaSelect-dophouder met automatische dopomschakeling.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Pr>
          <w:rFonts w:ascii="Arial" w:hAnsi="Arial"/>
        </w:rPr>
        <w:t>Met AmaXact introduceert AMAZONE nu een dophouder met pulsbreedte-frequentiemodulatie, die bijzonder geschikt is voor boerderijen met middelgrote tot grote oppervlaktestructuren, evenals voor plaatsspecifieke toediening en Spot-Spraying.</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Pulsbreedte-frequentiemodulatie</w:t>
      </w:r>
    </w:p>
    <w:p w14:paraId="7C0702FE" w14:textId="77777777" w:rsidR="007809FE" w:rsidRPr="007809FE" w:rsidRDefault="007809FE" w:rsidP="007809FE">
      <w:pPr>
        <w:spacing w:after="120" w:line="360" w:lineRule="auto"/>
        <w:ind w:left="567" w:right="1695"/>
        <w:rPr>
          <w:rFonts w:ascii="Arial" w:eastAsia="Arial" w:hAnsi="Arial" w:cs="Arial"/>
        </w:rPr>
      </w:pPr>
      <w:r>
        <w:rPr>
          <w:rFonts w:ascii="Arial" w:hAnsi="Arial"/>
        </w:rPr>
        <w:t>Bij de pulsbreedte-frequentiemodulatie (PWFM)-technologie opent en sluit het ventiel van de dophouder meerdere keren per seconde, terwijl de openingstijden (pulsbreedtes) naar behoefte kunnen worden aangepast. Terwijl de toedieningshoeveelheid bij gewone dophouders direct afhankelijk is van de spuitdruk, kan deze bij het PWFM-systeem via de openingstijden worden geregeld en daarmee een zekere onafhankelijkheid van de spuitdruk worden bereikt.</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Door de mogelijkheid om elk PWFM-ventiel individueel aan te sturen, ontstaan enkele voordelen voor de toediening. Naast de individuele dopschakeling voor minimale overlapping kan nu een traploos bochtcompensatie worden bereikt. Bovendien heeft de bestuurder de mogelijkheid om de rijsnelheid binnen een </w:t>
      </w:r>
      <w:r>
        <w:rPr>
          <w:rFonts w:ascii="Arial" w:hAnsi="Arial"/>
        </w:rPr>
        <w:lastRenderedPageBreak/>
        <w:t xml:space="preserve">bepaald bereik te variëren zonder dat de druppelgrootte verandert. Dit resulteert in een winst op het gebied van efficiëntie en constante toedieningskwaliteit.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Pr>
          <w:rFonts w:ascii="Arial" w:hAnsi="Arial"/>
        </w:rPr>
        <w:t>Een ander belangrijk voordeel is te zien op het gebied van precisielandbouw. De individuele aansturing van de ventielen maakt een precieze plaatsspecifieke toediening mogelijk, ook binnen de spuitboombreedte. Bovendien leent het systeem zich door de hoge schakelsnelheid van de ventielen uitstekend voor spottoediening, om met kleinschalige spots de hoogste besparingen te behalen.</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Pr>
          <w:rFonts w:ascii="Arial" w:hAnsi="Arial"/>
        </w:rPr>
        <w:t>Voor een nauwkeurige pleksgewijze toediening is naast de hoge schakelsnelheid ook een bijzonder snelle en nauwkeurige drukregeling essentieel om de toedieningshoeveelheid ook op de spots exact te kunnen handhaven. Speciaal voor het AmaXact-systeem heeft AMAZONE de hydraulische drukregelaar DynamicFlow ontwikkeld, die een extreem snelle drukregeling mogelijk maakt en daarmee de precisie van het uitbrengen bij zowel spotapplicatie als volveldstoediening optimaliseert.</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Pr>
          <w:rFonts w:ascii="Arial" w:hAnsi="Arial"/>
          <w:b/>
        </w:rPr>
        <w:t>Intuïtief bedieningsconcept</w:t>
      </w:r>
    </w:p>
    <w:p w14:paraId="0F92E941" w14:textId="77777777" w:rsidR="007809FE" w:rsidRPr="007809FE" w:rsidRDefault="007809FE" w:rsidP="007809FE">
      <w:pPr>
        <w:spacing w:after="120" w:line="360" w:lineRule="auto"/>
        <w:ind w:left="567" w:right="1695"/>
        <w:rPr>
          <w:rFonts w:ascii="Arial" w:eastAsia="Arial" w:hAnsi="Arial" w:cs="Arial"/>
        </w:rPr>
      </w:pPr>
      <w:r>
        <w:rPr>
          <w:rFonts w:ascii="Arial" w:hAnsi="Arial"/>
        </w:rPr>
        <w:t>AmaXact is een eigen ontwikkeling van AMAZONE. Hierdoor voldoet het systeem niet alleen aan de eigen hoge kwaliteitsnormen van AMAZONE, maar biedt het de klant ook volledige integratie in de software en dus een bijzonder eenvoudige en duidelijke bediening. De bestuurder hoeft alleen de gewenste druppelgrootte in te voeren en krijgt een snelheidsbereik waarin gereden kan worden. Bovendien heeft de bestuurder de mogelijkheid om flexibel te reageren op bijzondere gewassituaties, door de toedieningshoeveelheid in bepaalde deelgebieden handmatig aan te passen.</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Dankzij de volledige systeemintegratie bestaat in de toekomst de mogelijkheid van digitale koppeling aan het cloudgebaseerde gegevensplatform AmaConnect. Met de intelligente koppeling van de machine wordt door het </w:t>
      </w:r>
      <w:r>
        <w:rPr>
          <w:rFonts w:ascii="Arial" w:hAnsi="Arial"/>
        </w:rPr>
        <w:lastRenderedPageBreak/>
        <w:t xml:space="preserve">gebruik van realtime gegevens en digitale assistentiesystemen de basis gelegd voor slimme functies met focus op beslissingsondersteuning, automatisering, procesbewaking of kwaliteitsborging. </w:t>
      </w:r>
    </w:p>
    <w:p w14:paraId="7E99B60D" w14:textId="77777777" w:rsidR="007809FE" w:rsidRPr="007809FE" w:rsidRDefault="007809FE" w:rsidP="007809FE">
      <w:pPr>
        <w:spacing w:after="120" w:line="360" w:lineRule="auto"/>
        <w:ind w:left="567" w:right="1695"/>
        <w:rPr>
          <w:rFonts w:ascii="Arial" w:eastAsia="Arial" w:hAnsi="Arial" w:cs="Arial"/>
        </w:rPr>
      </w:pPr>
    </w:p>
    <w:p w14:paraId="69EA16B1"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Betere toedieningskwaliteit door middel van frequentiemodulatie</w:t>
      </w:r>
    </w:p>
    <w:p w14:paraId="54757BCF" w14:textId="77777777" w:rsidR="007809FE" w:rsidRPr="007809FE" w:rsidRDefault="007809FE" w:rsidP="007809FE">
      <w:pPr>
        <w:spacing w:after="120" w:line="360" w:lineRule="auto"/>
        <w:ind w:left="567" w:right="1695"/>
        <w:rPr>
          <w:rFonts w:ascii="Arial" w:eastAsia="Arial" w:hAnsi="Arial" w:cs="Arial"/>
        </w:rPr>
      </w:pPr>
      <w:r>
        <w:rPr>
          <w:rFonts w:ascii="Arial" w:hAnsi="Arial"/>
        </w:rPr>
        <w:t>AMAZONE gaat met AmaXact nog een stap verder om de uitdagingen van conventionele systemen voor pulsbreedtemodulatie (PWM) systemen op te lossen. Bij de PWFM wordt naast de openingstijd van de ventielen ook het aantal schakelcycli geregeld. Dit levert een doorslaggevend voordeel op: conventionele PWM-systemen kunnen in bepaalde rijsituaties, vooral in combinatie met hoge rijsnelheden, een onnauwkeurige longitudinale verdeling veroorzaken, die zelfs zichtbaar wordt in de gewassen. Dit gebeurt op basis van de afstand die de spuitboom aflegt terwijl de dop gesloten is. AmaXact verhoogt in deze rijsituaties automatisch de schakelfrequentie om zo een onnauwkeurige verdeling te vermijden.</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Drukregeling: groter werkgebied en minimale slijtage</w:t>
      </w:r>
    </w:p>
    <w:p w14:paraId="0FBC429A" w14:textId="77777777" w:rsidR="007809FE" w:rsidRPr="007809FE" w:rsidRDefault="007809FE" w:rsidP="007809FE">
      <w:pPr>
        <w:spacing w:after="120" w:line="360" w:lineRule="auto"/>
        <w:ind w:left="567" w:right="1695"/>
        <w:rPr>
          <w:rFonts w:ascii="Arial" w:eastAsia="Arial" w:hAnsi="Arial" w:cs="Arial"/>
        </w:rPr>
      </w:pPr>
      <w:r>
        <w:rPr>
          <w:rFonts w:ascii="Arial" w:hAnsi="Arial"/>
        </w:rPr>
        <w:t>Ten opzichte van een automatische omschakeling van verschillende doppen biedt PWM het voordeel dat het met slechts één dop traploos werkt en binnen een bepaald werkbereik altijd dezelfde toedieningskwaliteit levert. Tegelijkertijd kan het nadeel van conventionele PWM-techniek zijn dat dit werkbereik kleiner is, omdat de toedieningskwaliteit bij te geringe openingstijden daalt.</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Ook hiervoor biedt AmaXact met de PWFM-techniek een oplossing. Om het werkbereik te vergroten, kan in plaats van een enkele drukwaarde een drukbereik worden ingevoerd waarin de dop de gewenste druppelgrootte produceert. AmaXact regelt automatisch druk, frequentie en openingstijden zodat de applicatiekwaliteit constant hoog blijft en tegelijkertijd een tot 87% groter werkbereik wat betreft snelheid en uitbrenghoeveelheid mogelijk is. Dit principe wordt ook bij de bochtcompensatie CurveControl Flex gebruikt, doordat </w:t>
      </w:r>
      <w:r>
        <w:rPr>
          <w:rFonts w:ascii="Arial" w:hAnsi="Arial"/>
        </w:rPr>
        <w:lastRenderedPageBreak/>
        <w:t>het systeem dankzij de drukregeling ook in krappe bochten en bij variërende rijsnelheden de gewenste uitbrenghoeveelheid bereikt.</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Pr>
          <w:rFonts w:ascii="Arial" w:hAnsi="Arial"/>
        </w:rPr>
        <w:t>De drukregeling wordt bovendien gebruikt om het aantal schakelcycli te verminderen en zo de levensduur van de ventielen te verlengen. Bij een hoge DutyCycle schakelt het systeem automatisch over van pulsen naar continu openen van de doppen. Hierdoor wordt het aantal schakelcycli – afhankelijk van de rijsituatie – aanzienlijk verminderd. De hoeveelheidsregeling gebeurt ondertussen door de drukregeling binnen het vooraf gedefinieerde drukbereik. De applicatiekwaliteit blijft constant, terwijl slijtage tot een minimum wordt beperkt.</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Kleinschalige plaatsspecifieke toediening en nauwkeurig pleksgewijs spuiten</w:t>
      </w:r>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 xml:space="preserve">Bijzonder eenvoudig en comfortabel bedieningsconcept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Lange levensduur door intelligente slijtageminimalisatie</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Perfecte toedieningskwaliteit ook in grensgebieden</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Groot snelheids- en volumebereik met slechts één dop voor maximale flexibiliteit en efficiëntie</w:t>
      </w:r>
    </w:p>
    <w:p w14:paraId="108F8063" w14:textId="77777777" w:rsidR="00F10E9A" w:rsidRDefault="00F10E9A" w:rsidP="00F10E9A">
      <w:pPr>
        <w:spacing w:after="120" w:line="360" w:lineRule="auto"/>
        <w:ind w:right="1695"/>
        <w:rPr>
          <w:rFonts w:ascii="Arial" w:eastAsia="Arial" w:hAnsi="Arial" w:cs="Arial"/>
        </w:rPr>
      </w:pPr>
    </w:p>
    <w:p w14:paraId="3DEB92D4" w14:textId="77777777" w:rsidR="00F10E9A" w:rsidRDefault="00F10E9A" w:rsidP="00F10E9A">
      <w:pPr>
        <w:spacing w:after="120" w:line="360" w:lineRule="auto"/>
        <w:ind w:right="1695"/>
        <w:rPr>
          <w:rFonts w:ascii="Arial" w:eastAsia="Arial" w:hAnsi="Arial" w:cs="Arial"/>
        </w:rPr>
      </w:pP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r>
        <w:rPr>
          <w:rFonts w:ascii="Arial" w:hAnsi="Arial"/>
        </w:rPr>
        <w:t>AmaXact pulsbreedte-frequentiemodulatie op een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EA6E12" w:rsidRDefault="00EA6E12" w:rsidP="00EA6E12">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www.amazone.net/yt-AmaXact</w:t>
      </w:r>
    </w:p>
    <w:p w14:paraId="6E6C9099" w14:textId="77777777" w:rsidR="00EA6E12" w:rsidRDefault="00EA6E12" w:rsidP="00EA6E12">
      <w:pPr>
        <w:spacing w:after="120" w:line="360" w:lineRule="auto"/>
        <w:ind w:left="567" w:right="1695"/>
        <w:rPr>
          <w:rFonts w:ascii="Arial" w:eastAsia="Arial" w:hAnsi="Arial" w:cs="Arial"/>
        </w:rPr>
      </w:pPr>
    </w:p>
    <w:p w14:paraId="2D38E833" w14:textId="77777777" w:rsidR="00EA6E12" w:rsidRDefault="00EA6E12" w:rsidP="00EA6E12">
      <w:pPr>
        <w:spacing w:after="120" w:line="360" w:lineRule="auto"/>
        <w:ind w:left="567" w:right="1695"/>
        <w:rPr>
          <w:rFonts w:ascii="Arial" w:eastAsia="Arial" w:hAnsi="Arial" w:cs="Arial"/>
        </w:rPr>
      </w:pPr>
    </w:p>
    <w:p w14:paraId="731FB3A0" w14:textId="36883A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Pr>
          <w:rFonts w:ascii="Arial" w:hAnsi="Arial"/>
        </w:rPr>
        <w:t>Pulserende dopafgifte voor drukonafhankelijke regeling van de toedieningshoeveelheid</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Overzichtelijk, eenvoudig bedieningsconcept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Pr>
          <w:rFonts w:ascii="Arial" w:hAnsi="Arial"/>
        </w:rPr>
        <w:t>Handmatig aanpassen van de toedieningshoeveelheid in secties</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766891DD" wp14:editId="27F53F50">
            <wp:extent cx="4064400" cy="2876244"/>
            <wp:effectExtent l="0" t="0" r="0" b="63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523C8B3" wp14:editId="67119104">
            <wp:extent cx="4064400" cy="2876244"/>
            <wp:effectExtent l="0" t="0" r="0" b="63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Pr>
          <w:rFonts w:ascii="Arial" w:hAnsi="Arial"/>
        </w:rPr>
        <w:t>Vermijden van toedieningsgaten – vooral bij hoge rijsnelheden</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4486C243" wp14:editId="3EE15F4B">
            <wp:extent cx="6527430" cy="1623600"/>
            <wp:effectExtent l="0" t="0" r="6985" b="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7430" cy="1623600"/>
                    </a:xfrm>
                    <a:prstGeom prst="rect">
                      <a:avLst/>
                    </a:prstGeom>
                  </pic:spPr>
                </pic:pic>
              </a:graphicData>
            </a:graphic>
          </wp:inline>
        </w:drawing>
      </w:r>
    </w:p>
    <w:p w14:paraId="4A730FCF" w14:textId="77777777" w:rsidR="00EA6E12" w:rsidRDefault="00EA6E12" w:rsidP="00EA6E12">
      <w:pPr>
        <w:spacing w:after="120" w:line="360" w:lineRule="auto"/>
        <w:ind w:left="567" w:right="1695"/>
        <w:rPr>
          <w:rFonts w:ascii="Arial" w:eastAsia="Arial" w:hAnsi="Arial" w:cs="Arial"/>
        </w:rPr>
      </w:pPr>
    </w:p>
    <w:p w14:paraId="1736DC24" w14:textId="77777777" w:rsidR="00EA6E12" w:rsidRDefault="00EA6E12" w:rsidP="00EA6E12">
      <w:pPr>
        <w:spacing w:after="120" w:line="360" w:lineRule="auto"/>
        <w:ind w:left="567" w:right="1695"/>
        <w:rPr>
          <w:rFonts w:ascii="Arial" w:eastAsia="Arial" w:hAnsi="Arial" w:cs="Arial"/>
        </w:rPr>
      </w:pPr>
    </w:p>
    <w:p w14:paraId="6102D76E" w14:textId="77777777" w:rsidR="00EA6E12" w:rsidRDefault="00EA6E12" w:rsidP="00EA6E12">
      <w:pPr>
        <w:spacing w:after="120" w:line="360" w:lineRule="auto"/>
        <w:ind w:left="567" w:right="1695"/>
        <w:rPr>
          <w:rFonts w:ascii="Arial" w:eastAsia="Arial" w:hAnsi="Arial" w:cs="Arial"/>
        </w:rPr>
      </w:pPr>
    </w:p>
    <w:p w14:paraId="28B32EBC" w14:textId="77777777" w:rsidR="00EA6E12" w:rsidRDefault="00EA6E12" w:rsidP="00EA6E12">
      <w:pPr>
        <w:spacing w:after="120" w:line="360" w:lineRule="auto"/>
        <w:ind w:left="567" w:right="1695"/>
        <w:rPr>
          <w:rFonts w:ascii="Arial" w:eastAsia="Arial" w:hAnsi="Arial" w:cs="Arial"/>
        </w:rPr>
      </w:pPr>
    </w:p>
    <w:p w14:paraId="1A8EB56C" w14:textId="77777777" w:rsidR="00EA6E12" w:rsidRDefault="00EA6E12" w:rsidP="00EA6E12">
      <w:pPr>
        <w:spacing w:after="120" w:line="360" w:lineRule="auto"/>
        <w:ind w:left="567" w:right="1695"/>
        <w:rPr>
          <w:rFonts w:ascii="Arial" w:eastAsia="Arial" w:hAnsi="Arial" w:cs="Arial"/>
        </w:rPr>
      </w:pPr>
    </w:p>
    <w:p w14:paraId="00F5F6BD" w14:textId="77777777" w:rsidR="00EA6E12" w:rsidRDefault="00EA6E12" w:rsidP="00EA6E12">
      <w:pPr>
        <w:spacing w:after="120" w:line="360" w:lineRule="auto"/>
        <w:ind w:left="567" w:right="1695"/>
        <w:rPr>
          <w:rFonts w:ascii="Arial" w:eastAsia="Arial" w:hAnsi="Arial" w:cs="Arial"/>
        </w:rPr>
      </w:pPr>
    </w:p>
    <w:p w14:paraId="364AD19A" w14:textId="77777777" w:rsidR="00EA6E12" w:rsidRPr="00F4316E" w:rsidRDefault="00EA6E12"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14069AD6" w14:textId="618CAC74" w:rsidR="004E226B" w:rsidRPr="004E226B" w:rsidRDefault="00D34808" w:rsidP="004E226B">
      <w:pPr>
        <w:tabs>
          <w:tab w:val="left" w:pos="3550"/>
        </w:tabs>
        <w:spacing w:line="360" w:lineRule="auto"/>
        <w:ind w:left="567" w:right="1128"/>
      </w:pPr>
      <w:r>
        <w:rPr>
          <w:rFonts w:ascii="Arial" w:hAnsi="Arial"/>
          <w:color w:val="808080" w:themeColor="background1" w:themeShade="80"/>
          <w:sz w:val="20"/>
        </w:rPr>
        <w:t>Verdere informatie: </w:t>
      </w:r>
      <w:hyperlink r:id="rId17" w:history="1">
        <w:r w:rsidR="004E226B" w:rsidRPr="0085483C">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DF9C1" w14:textId="77777777" w:rsidR="002C12E3" w:rsidRDefault="002C12E3">
      <w:r>
        <w:separator/>
      </w:r>
    </w:p>
  </w:endnote>
  <w:endnote w:type="continuationSeparator" w:id="0">
    <w:p w14:paraId="13AD5318" w14:textId="77777777" w:rsidR="002C12E3" w:rsidRDefault="002C1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6E445" w14:textId="77777777" w:rsidR="002C12E3" w:rsidRDefault="002C12E3">
      <w:r>
        <w:separator/>
      </w:r>
    </w:p>
  </w:footnote>
  <w:footnote w:type="continuationSeparator" w:id="0">
    <w:p w14:paraId="4BBB166D" w14:textId="77777777" w:rsidR="002C12E3" w:rsidRDefault="002C12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2E3"/>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47EFF"/>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226B"/>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1043</Words>
  <Characters>6578</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2025-08-28T14:45:00Z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