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0B9BF" w14:textId="77777777" w:rsidR="007805AF" w:rsidRPr="007805AF" w:rsidRDefault="007805AF" w:rsidP="007805AF">
      <w:pPr>
        <w:spacing w:line="360" w:lineRule="auto"/>
        <w:ind w:left="567" w:right="1695"/>
        <w:rPr>
          <w:rFonts w:ascii="Arial" w:hAnsi="Arial" w:cs="Arial"/>
          <w:b/>
          <w:bCs/>
          <w:sz w:val="28"/>
          <w:szCs w:val="28"/>
        </w:rPr>
      </w:pPr>
      <w:proofErr w:type="spellStart"/>
      <w:r>
        <w:rPr>
          <w:rFonts w:ascii="Arial" w:hAnsi="Arial"/>
          <w:b/>
          <w:sz w:val="28"/>
        </w:rPr>
        <w:t>AmaSelect</w:t>
      </w:r>
      <w:proofErr w:type="spellEnd"/>
      <w:r>
        <w:rPr>
          <w:rFonts w:ascii="Arial" w:hAnsi="Arial"/>
          <w:b/>
          <w:sz w:val="28"/>
        </w:rPr>
        <w:t> </w:t>
      </w:r>
      <w:proofErr w:type="spellStart"/>
      <w:r>
        <w:rPr>
          <w:rFonts w:ascii="Arial" w:hAnsi="Arial"/>
          <w:b/>
          <w:sz w:val="28"/>
        </w:rPr>
        <w:t>twin</w:t>
      </w:r>
      <w:proofErr w:type="spellEnd"/>
    </w:p>
    <w:p w14:paraId="2E50794F" w14:textId="77777777" w:rsidR="007805AF" w:rsidRPr="007805AF" w:rsidRDefault="007805AF" w:rsidP="007805AF">
      <w:pPr>
        <w:spacing w:line="360" w:lineRule="auto"/>
        <w:ind w:left="567" w:right="1695"/>
        <w:rPr>
          <w:rFonts w:ascii="Arial" w:hAnsi="Arial" w:cs="Arial"/>
          <w:b/>
          <w:bCs/>
        </w:rPr>
      </w:pPr>
      <w:r>
        <w:rPr>
          <w:rFonts w:ascii="Arial" w:hAnsi="Arial"/>
          <w:b/>
        </w:rPr>
        <w:t xml:space="preserve">Précision et flexibilité renforcées grâce aux extensions sur mesure pour </w:t>
      </w:r>
      <w:proofErr w:type="spellStart"/>
      <w:r>
        <w:rPr>
          <w:rFonts w:ascii="Arial" w:hAnsi="Arial"/>
          <w:b/>
        </w:rPr>
        <w:t>AmaSelect</w:t>
      </w:r>
      <w:proofErr w:type="spellEnd"/>
    </w:p>
    <w:p w14:paraId="77523A59" w14:textId="77777777" w:rsidR="00070765" w:rsidRDefault="00070765" w:rsidP="00330541">
      <w:pPr>
        <w:spacing w:line="360" w:lineRule="auto"/>
        <w:ind w:left="567" w:right="1695"/>
        <w:rPr>
          <w:rFonts w:ascii="Arial" w:hAnsi="Arial" w:cs="Arial"/>
        </w:rPr>
      </w:pPr>
    </w:p>
    <w:p w14:paraId="4ED5113E" w14:textId="77777777" w:rsidR="007805AF" w:rsidRPr="007805AF" w:rsidRDefault="007805AF" w:rsidP="00C162AD">
      <w:pPr>
        <w:spacing w:after="120" w:line="360" w:lineRule="auto"/>
        <w:ind w:left="567" w:right="1128"/>
        <w:rPr>
          <w:rFonts w:ascii="Arial" w:eastAsia="Arial" w:hAnsi="Arial" w:cs="Arial"/>
        </w:rPr>
      </w:pPr>
      <w:r>
        <w:rPr>
          <w:rFonts w:ascii="Arial" w:hAnsi="Arial"/>
        </w:rPr>
        <w:t xml:space="preserve">Avec </w:t>
      </w:r>
      <w:proofErr w:type="spellStart"/>
      <w:r>
        <w:rPr>
          <w:rFonts w:ascii="Arial" w:hAnsi="Arial"/>
        </w:rPr>
        <w:t>AmaSelect</w:t>
      </w:r>
      <w:proofErr w:type="spellEnd"/>
      <w:r>
        <w:rPr>
          <w:rFonts w:ascii="Arial" w:hAnsi="Arial"/>
        </w:rPr>
        <w:t> </w:t>
      </w:r>
      <w:proofErr w:type="spellStart"/>
      <w:r>
        <w:rPr>
          <w:rFonts w:ascii="Arial" w:hAnsi="Arial"/>
        </w:rPr>
        <w:t>twin</w:t>
      </w:r>
      <w:proofErr w:type="spellEnd"/>
      <w:r>
        <w:rPr>
          <w:rFonts w:ascii="Arial" w:hAnsi="Arial"/>
        </w:rPr>
        <w:t>, AMAZONE présente une solution novatrice pour une application précise en protection phytosanitaire. Grâce aux nombreuses combinaisons d’ouvertures de buses, cette solution répond aux exigences les plus élevées des exploitations souhaitant appliquer les produits de protection des plantes avec des buses écartées de 25 cm.</w:t>
      </w:r>
    </w:p>
    <w:p w14:paraId="5F03569B" w14:textId="77777777" w:rsidR="007805AF" w:rsidRPr="007805AF" w:rsidRDefault="007805AF" w:rsidP="00C162AD">
      <w:pPr>
        <w:spacing w:after="120" w:line="360" w:lineRule="auto"/>
        <w:ind w:left="567" w:right="1128"/>
        <w:rPr>
          <w:rFonts w:ascii="Arial" w:eastAsia="Arial" w:hAnsi="Arial" w:cs="Arial"/>
        </w:rPr>
      </w:pPr>
    </w:p>
    <w:p w14:paraId="1E1E6568" w14:textId="77777777" w:rsidR="007805AF" w:rsidRPr="007805AF" w:rsidRDefault="007805AF" w:rsidP="00C162AD">
      <w:pPr>
        <w:spacing w:after="120" w:line="360" w:lineRule="auto"/>
        <w:ind w:left="567" w:right="1128"/>
        <w:rPr>
          <w:rFonts w:ascii="Arial" w:eastAsia="Arial" w:hAnsi="Arial" w:cs="Arial"/>
        </w:rPr>
      </w:pPr>
      <w:proofErr w:type="spellStart"/>
      <w:r>
        <w:rPr>
          <w:rFonts w:ascii="Arial" w:hAnsi="Arial"/>
          <w:b/>
        </w:rPr>
        <w:t>AmaSelect</w:t>
      </w:r>
      <w:proofErr w:type="spellEnd"/>
      <w:r>
        <w:rPr>
          <w:rFonts w:ascii="Arial" w:hAnsi="Arial"/>
          <w:b/>
        </w:rPr>
        <w:t xml:space="preserve"> – une polyvalence bien étudiée</w:t>
      </w:r>
    </w:p>
    <w:p w14:paraId="0F250C3E" w14:textId="77777777" w:rsidR="007805AF" w:rsidRPr="007805AF" w:rsidRDefault="007805AF" w:rsidP="00C162AD">
      <w:pPr>
        <w:spacing w:after="120" w:line="360" w:lineRule="auto"/>
        <w:ind w:left="567" w:right="1128"/>
        <w:rPr>
          <w:rFonts w:ascii="Arial" w:eastAsia="Arial" w:hAnsi="Arial" w:cs="Arial"/>
        </w:rPr>
      </w:pPr>
      <w:r>
        <w:rPr>
          <w:rFonts w:ascii="Arial" w:hAnsi="Arial"/>
        </w:rPr>
        <w:t xml:space="preserve">Le porte-jet </w:t>
      </w:r>
      <w:proofErr w:type="spellStart"/>
      <w:r>
        <w:rPr>
          <w:rFonts w:ascii="Arial" w:hAnsi="Arial"/>
        </w:rPr>
        <w:t>AmaSelect</w:t>
      </w:r>
      <w:proofErr w:type="spellEnd"/>
      <w:r>
        <w:rPr>
          <w:rFonts w:ascii="Arial" w:hAnsi="Arial"/>
        </w:rPr>
        <w:t xml:space="preserve">, déjà bien implanté sur le marché, garantit une application précise et une large polyvalence des </w:t>
      </w:r>
      <w:proofErr w:type="spellStart"/>
      <w:proofErr w:type="gramStart"/>
      <w:r>
        <w:rPr>
          <w:rFonts w:ascii="Arial" w:hAnsi="Arial"/>
        </w:rPr>
        <w:t>interventions.Sa</w:t>
      </w:r>
      <w:proofErr w:type="spellEnd"/>
      <w:proofErr w:type="gramEnd"/>
      <w:r>
        <w:rPr>
          <w:rFonts w:ascii="Arial" w:hAnsi="Arial"/>
        </w:rPr>
        <w:t xml:space="preserve"> conception simple et bien pensée garantit une grande fiabilité. </w:t>
      </w:r>
    </w:p>
    <w:p w14:paraId="1B53689D" w14:textId="77777777" w:rsidR="007805AF" w:rsidRPr="007805AF" w:rsidRDefault="007805AF" w:rsidP="00C162AD">
      <w:pPr>
        <w:spacing w:after="120" w:line="360" w:lineRule="auto"/>
        <w:ind w:left="567" w:right="1128"/>
        <w:rPr>
          <w:rFonts w:ascii="Arial" w:eastAsia="Arial" w:hAnsi="Arial" w:cs="Arial"/>
        </w:rPr>
      </w:pPr>
    </w:p>
    <w:p w14:paraId="69E10A73" w14:textId="77777777" w:rsidR="007805AF" w:rsidRPr="007805AF" w:rsidRDefault="007805AF" w:rsidP="00C162AD">
      <w:pPr>
        <w:spacing w:after="120" w:line="360" w:lineRule="auto"/>
        <w:ind w:left="567" w:right="1128"/>
        <w:rPr>
          <w:rFonts w:ascii="Arial" w:eastAsia="Arial" w:hAnsi="Arial" w:cs="Arial"/>
        </w:rPr>
      </w:pPr>
      <w:r>
        <w:rPr>
          <w:rFonts w:ascii="Arial" w:hAnsi="Arial"/>
          <w:b/>
        </w:rPr>
        <w:t xml:space="preserve">Nouveauté : </w:t>
      </w:r>
      <w:proofErr w:type="spellStart"/>
      <w:r>
        <w:rPr>
          <w:rFonts w:ascii="Arial" w:hAnsi="Arial"/>
          <w:b/>
        </w:rPr>
        <w:t>AmaSelect</w:t>
      </w:r>
      <w:proofErr w:type="spellEnd"/>
      <w:r>
        <w:rPr>
          <w:rFonts w:ascii="Arial" w:hAnsi="Arial"/>
          <w:b/>
        </w:rPr>
        <w:t> </w:t>
      </w:r>
      <w:proofErr w:type="spellStart"/>
      <w:r>
        <w:rPr>
          <w:rFonts w:ascii="Arial" w:hAnsi="Arial"/>
          <w:b/>
        </w:rPr>
        <w:t>twin</w:t>
      </w:r>
      <w:proofErr w:type="spellEnd"/>
      <w:r>
        <w:rPr>
          <w:rFonts w:ascii="Arial" w:hAnsi="Arial"/>
          <w:b/>
        </w:rPr>
        <w:t xml:space="preserve"> – de nouvelles possibilités pour les buses espacées de 25 cm</w:t>
      </w:r>
    </w:p>
    <w:p w14:paraId="795ADF8D" w14:textId="77777777" w:rsidR="007805AF" w:rsidRPr="007805AF" w:rsidRDefault="007805AF" w:rsidP="00C162AD">
      <w:pPr>
        <w:spacing w:after="120" w:line="360" w:lineRule="auto"/>
        <w:ind w:left="567" w:right="1128"/>
        <w:rPr>
          <w:rFonts w:ascii="Arial" w:eastAsia="Arial" w:hAnsi="Arial" w:cs="Arial"/>
        </w:rPr>
      </w:pPr>
      <w:r>
        <w:rPr>
          <w:rFonts w:ascii="Arial" w:hAnsi="Arial"/>
        </w:rPr>
        <w:t xml:space="preserve">La nouvelle série </w:t>
      </w:r>
      <w:proofErr w:type="spellStart"/>
      <w:r>
        <w:rPr>
          <w:rFonts w:ascii="Arial" w:hAnsi="Arial"/>
        </w:rPr>
        <w:t>twin</w:t>
      </w:r>
      <w:proofErr w:type="spellEnd"/>
      <w:r>
        <w:rPr>
          <w:rFonts w:ascii="Arial" w:hAnsi="Arial"/>
        </w:rPr>
        <w:t xml:space="preserve"> comprend 2 jeux différents de décalages des buses : 2-2-2 et 2-1-2. Tous les deux permettent un écart entre buses de 25 cm mais ils se différencient au niveau de leur fonctionnalité. AMAZONE propose ainsi une coupure de buse sur mesure pour chaque exploitation :</w:t>
      </w:r>
    </w:p>
    <w:p w14:paraId="2E3F1524" w14:textId="77777777" w:rsidR="007805AF" w:rsidRPr="007805AF" w:rsidRDefault="007805AF" w:rsidP="00C162AD">
      <w:pPr>
        <w:spacing w:after="120" w:line="360" w:lineRule="auto"/>
        <w:ind w:left="567" w:right="1128"/>
        <w:rPr>
          <w:rFonts w:ascii="Arial" w:eastAsia="Arial" w:hAnsi="Arial" w:cs="Arial"/>
        </w:rPr>
      </w:pPr>
    </w:p>
    <w:p w14:paraId="451AD5BA" w14:textId="77777777" w:rsidR="007805AF" w:rsidRPr="007805AF" w:rsidRDefault="007805AF" w:rsidP="00543719">
      <w:pPr>
        <w:spacing w:after="120" w:line="360" w:lineRule="auto"/>
        <w:ind w:left="567" w:right="986"/>
        <w:rPr>
          <w:rFonts w:ascii="Arial" w:eastAsia="Arial" w:hAnsi="Arial" w:cs="Arial"/>
        </w:rPr>
      </w:pPr>
      <w:proofErr w:type="spellStart"/>
      <w:r>
        <w:rPr>
          <w:rFonts w:ascii="Arial" w:hAnsi="Arial"/>
          <w:b/>
        </w:rPr>
        <w:t>AmaSelect</w:t>
      </w:r>
      <w:proofErr w:type="spellEnd"/>
      <w:r>
        <w:rPr>
          <w:rFonts w:ascii="Arial" w:hAnsi="Arial"/>
          <w:b/>
        </w:rPr>
        <w:t> </w:t>
      </w:r>
      <w:proofErr w:type="spellStart"/>
      <w:r>
        <w:rPr>
          <w:rFonts w:ascii="Arial" w:hAnsi="Arial"/>
          <w:b/>
        </w:rPr>
        <w:t>twin</w:t>
      </w:r>
      <w:proofErr w:type="spellEnd"/>
      <w:r>
        <w:rPr>
          <w:rFonts w:ascii="Arial" w:hAnsi="Arial"/>
          <w:b/>
        </w:rPr>
        <w:t xml:space="preserve"> 2-2-2 – le professionnel des cultures </w:t>
      </w:r>
    </w:p>
    <w:p w14:paraId="31861DA2" w14:textId="77777777" w:rsidR="007805AF" w:rsidRPr="007805AF" w:rsidRDefault="007805AF" w:rsidP="00543719">
      <w:pPr>
        <w:spacing w:after="120" w:line="360" w:lineRule="auto"/>
        <w:ind w:left="567" w:right="986"/>
        <w:rPr>
          <w:rFonts w:ascii="Arial" w:eastAsia="Arial" w:hAnsi="Arial" w:cs="Arial"/>
        </w:rPr>
      </w:pPr>
      <w:r>
        <w:rPr>
          <w:rFonts w:ascii="Arial" w:hAnsi="Arial"/>
        </w:rPr>
        <w:t xml:space="preserve">Avec les extensions </w:t>
      </w:r>
      <w:proofErr w:type="spellStart"/>
      <w:r>
        <w:rPr>
          <w:rFonts w:ascii="Arial" w:hAnsi="Arial"/>
        </w:rPr>
        <w:t>AmaSelect</w:t>
      </w:r>
      <w:proofErr w:type="spellEnd"/>
      <w:r>
        <w:rPr>
          <w:rFonts w:ascii="Arial" w:hAnsi="Arial"/>
        </w:rPr>
        <w:t> </w:t>
      </w:r>
      <w:proofErr w:type="spellStart"/>
      <w:r>
        <w:rPr>
          <w:rFonts w:ascii="Arial" w:hAnsi="Arial"/>
        </w:rPr>
        <w:t>twin</w:t>
      </w:r>
      <w:proofErr w:type="spellEnd"/>
      <w:r>
        <w:rPr>
          <w:rFonts w:ascii="Arial" w:hAnsi="Arial"/>
        </w:rPr>
        <w:t xml:space="preserve"> 2-2-2, les position 1 et 2 du porte-jet alimentent toutes deux 2 buses espacées de 25 cm. Ainsi, la fonction du changement automatique de buse utilise l’un, l’autre ou les 2 jeux de buses écartées de 25 cm. Le conducteur a donc la possibilité d’utiliser toute la gamme de variations de vitesses d'avancement et de débits. La qualité d’application est ainsi optimisée et la hauteur de rampe peut être réduite pour diminuer la dérive. La compensation du débit en courbe peut aussi être utilisée avec ces extensions 2-2-2. L’utilisation du changement de buse </w:t>
      </w:r>
      <w:r>
        <w:rPr>
          <w:rFonts w:ascii="Arial" w:hAnsi="Arial"/>
        </w:rPr>
        <w:lastRenderedPageBreak/>
        <w:t xml:space="preserve">automatique avec les deux autres positions de buse (3 et 4) écartées de 50 cm reste possible. Ces deux positions sont disponibles pour l’emploi d’autres types de buses correspondants à d’autres applications, telles que la fertilisation liquide par exemple. </w:t>
      </w:r>
    </w:p>
    <w:p w14:paraId="012B9A42" w14:textId="77777777" w:rsidR="007805AF" w:rsidRPr="007805AF" w:rsidRDefault="007805AF" w:rsidP="00543719">
      <w:pPr>
        <w:spacing w:after="120" w:line="360" w:lineRule="auto"/>
        <w:ind w:left="567" w:right="986"/>
        <w:rPr>
          <w:rFonts w:ascii="Arial" w:eastAsia="Arial" w:hAnsi="Arial" w:cs="Arial"/>
        </w:rPr>
      </w:pPr>
    </w:p>
    <w:p w14:paraId="00C9979E" w14:textId="77777777" w:rsidR="007805AF" w:rsidRPr="007805AF" w:rsidRDefault="007805AF" w:rsidP="00543719">
      <w:pPr>
        <w:spacing w:after="120" w:line="360" w:lineRule="auto"/>
        <w:ind w:left="567" w:right="986"/>
        <w:rPr>
          <w:rFonts w:ascii="Arial" w:eastAsia="Arial" w:hAnsi="Arial" w:cs="Arial"/>
        </w:rPr>
      </w:pPr>
      <w:proofErr w:type="spellStart"/>
      <w:r>
        <w:rPr>
          <w:rFonts w:ascii="Arial" w:hAnsi="Arial"/>
          <w:b/>
        </w:rPr>
        <w:t>AmaSelect</w:t>
      </w:r>
      <w:proofErr w:type="spellEnd"/>
      <w:r>
        <w:rPr>
          <w:rFonts w:ascii="Arial" w:hAnsi="Arial"/>
          <w:b/>
        </w:rPr>
        <w:t> </w:t>
      </w:r>
      <w:proofErr w:type="spellStart"/>
      <w:r>
        <w:rPr>
          <w:rFonts w:ascii="Arial" w:hAnsi="Arial"/>
          <w:b/>
        </w:rPr>
        <w:t>twin</w:t>
      </w:r>
      <w:proofErr w:type="spellEnd"/>
      <w:r>
        <w:rPr>
          <w:rFonts w:ascii="Arial" w:hAnsi="Arial"/>
          <w:b/>
        </w:rPr>
        <w:t xml:space="preserve"> 2-1-2 – le spécialiste des cultures en ligne </w:t>
      </w:r>
    </w:p>
    <w:p w14:paraId="50CA405F" w14:textId="77777777" w:rsidR="007805AF" w:rsidRPr="007805AF" w:rsidRDefault="007805AF" w:rsidP="00543719">
      <w:pPr>
        <w:spacing w:after="120" w:line="360" w:lineRule="auto"/>
        <w:ind w:left="567" w:right="986"/>
        <w:rPr>
          <w:rFonts w:ascii="Arial" w:eastAsia="Arial" w:hAnsi="Arial" w:cs="Arial"/>
        </w:rPr>
      </w:pPr>
      <w:r>
        <w:rPr>
          <w:rFonts w:ascii="Arial" w:hAnsi="Arial"/>
        </w:rPr>
        <w:t xml:space="preserve">L’extension </w:t>
      </w:r>
      <w:proofErr w:type="spellStart"/>
      <w:r>
        <w:rPr>
          <w:rFonts w:ascii="Arial" w:hAnsi="Arial"/>
        </w:rPr>
        <w:t>AmaSelect</w:t>
      </w:r>
      <w:proofErr w:type="spellEnd"/>
      <w:r>
        <w:rPr>
          <w:rFonts w:ascii="Arial" w:hAnsi="Arial"/>
        </w:rPr>
        <w:t> </w:t>
      </w:r>
      <w:proofErr w:type="spellStart"/>
      <w:r>
        <w:rPr>
          <w:rFonts w:ascii="Arial" w:hAnsi="Arial"/>
        </w:rPr>
        <w:t>twin</w:t>
      </w:r>
      <w:proofErr w:type="spellEnd"/>
      <w:r>
        <w:rPr>
          <w:rFonts w:ascii="Arial" w:hAnsi="Arial"/>
        </w:rPr>
        <w:t xml:space="preserve"> 2-1-2 a été spécialement conçue pour une utilisation sur les cultures en ligne, telles que les pommes de terre avec un interligne de 75 cm. Les positions de buses 1 et 2 sont alors déportées vers la gauche et la droite. Comme avec les extensions simples déjà existantes, avec </w:t>
      </w:r>
      <w:proofErr w:type="spellStart"/>
      <w:r>
        <w:rPr>
          <w:rFonts w:ascii="Arial" w:hAnsi="Arial"/>
        </w:rPr>
        <w:t>AmaSelect</w:t>
      </w:r>
      <w:proofErr w:type="spellEnd"/>
      <w:r>
        <w:rPr>
          <w:rFonts w:ascii="Arial" w:hAnsi="Arial"/>
        </w:rPr>
        <w:t> Row chaque buse peut être pilotée individuellement.</w:t>
      </w:r>
    </w:p>
    <w:p w14:paraId="7A1455C9" w14:textId="77777777" w:rsidR="007805AF" w:rsidRPr="007805AF" w:rsidRDefault="007805AF" w:rsidP="00543719">
      <w:pPr>
        <w:spacing w:after="120" w:line="360" w:lineRule="auto"/>
        <w:ind w:left="567" w:right="986"/>
        <w:rPr>
          <w:rFonts w:ascii="Arial" w:eastAsia="Arial" w:hAnsi="Arial" w:cs="Arial"/>
        </w:rPr>
      </w:pPr>
    </w:p>
    <w:p w14:paraId="792BE65E" w14:textId="77777777" w:rsidR="007805AF" w:rsidRPr="007805AF" w:rsidRDefault="007805AF" w:rsidP="00543719">
      <w:pPr>
        <w:spacing w:after="120" w:line="360" w:lineRule="auto"/>
        <w:ind w:left="567" w:right="986"/>
        <w:rPr>
          <w:rFonts w:ascii="Arial" w:eastAsia="Arial" w:hAnsi="Arial" w:cs="Arial"/>
        </w:rPr>
      </w:pPr>
      <w:r>
        <w:rPr>
          <w:rFonts w:ascii="Arial" w:hAnsi="Arial"/>
        </w:rPr>
        <w:t xml:space="preserve">Mais avec </w:t>
      </w:r>
      <w:proofErr w:type="spellStart"/>
      <w:r>
        <w:rPr>
          <w:rFonts w:ascii="Arial" w:hAnsi="Arial"/>
        </w:rPr>
        <w:t>AmaSelect</w:t>
      </w:r>
      <w:proofErr w:type="spellEnd"/>
      <w:r>
        <w:rPr>
          <w:rFonts w:ascii="Arial" w:hAnsi="Arial"/>
        </w:rPr>
        <w:t> </w:t>
      </w:r>
      <w:proofErr w:type="spellStart"/>
      <w:r>
        <w:rPr>
          <w:rFonts w:ascii="Arial" w:hAnsi="Arial"/>
        </w:rPr>
        <w:t>twin</w:t>
      </w:r>
      <w:proofErr w:type="spellEnd"/>
      <w:r>
        <w:rPr>
          <w:rFonts w:ascii="Arial" w:hAnsi="Arial"/>
        </w:rPr>
        <w:t xml:space="preserve"> 2-1-2 offre un jeu de buses décalées supplémentaire : La bouillie issue de la position 3 est répartie sur 2 buses écartées de 25 cm. La position 4 reste disponible comme d'habitude à 50 cm. En plus des 2 jeux de buses décalés (1 et 2) utilisés pour l’application en bandes, on a à disposition un jeu de buses à 25 cm supplémentaire pour l’application en plein. Ici aussi, le changement automatique de buse et la combinaison de la position 3 et 4 sont conservés, l’adaptation aux vitesses d’avancement et aux doses variables, ainsi que la compensation de courbe sont donc totalement possibles. </w:t>
      </w:r>
    </w:p>
    <w:p w14:paraId="2431A900" w14:textId="77777777" w:rsidR="007805AF" w:rsidRPr="007805AF" w:rsidRDefault="007805AF" w:rsidP="00543719">
      <w:pPr>
        <w:spacing w:after="120" w:line="360" w:lineRule="auto"/>
        <w:ind w:left="567" w:right="986"/>
        <w:rPr>
          <w:rFonts w:ascii="Arial" w:eastAsia="Arial" w:hAnsi="Arial" w:cs="Arial"/>
        </w:rPr>
      </w:pPr>
    </w:p>
    <w:p w14:paraId="202D1A6D" w14:textId="77777777" w:rsidR="007805AF" w:rsidRDefault="007805AF" w:rsidP="00543719">
      <w:pPr>
        <w:spacing w:after="120" w:line="360" w:lineRule="auto"/>
        <w:ind w:left="567" w:right="986"/>
        <w:rPr>
          <w:rFonts w:ascii="Arial" w:eastAsia="Arial" w:hAnsi="Arial" w:cs="Arial"/>
        </w:rPr>
      </w:pPr>
      <w:r>
        <w:rPr>
          <w:rFonts w:ascii="Arial" w:hAnsi="Arial"/>
        </w:rPr>
        <w:t xml:space="preserve">Avec </w:t>
      </w:r>
      <w:proofErr w:type="spellStart"/>
      <w:r>
        <w:rPr>
          <w:rFonts w:ascii="Arial" w:hAnsi="Arial"/>
        </w:rPr>
        <w:t>AmaSelect</w:t>
      </w:r>
      <w:proofErr w:type="spellEnd"/>
      <w:r>
        <w:rPr>
          <w:rFonts w:ascii="Arial" w:hAnsi="Arial"/>
        </w:rPr>
        <w:t> </w:t>
      </w:r>
      <w:proofErr w:type="spellStart"/>
      <w:r>
        <w:rPr>
          <w:rFonts w:ascii="Arial" w:hAnsi="Arial"/>
        </w:rPr>
        <w:t>twin</w:t>
      </w:r>
      <w:proofErr w:type="spellEnd"/>
      <w:r>
        <w:rPr>
          <w:rFonts w:ascii="Arial" w:hAnsi="Arial"/>
        </w:rPr>
        <w:t>, il n’y a aucun compromis entre la précision maximale lors de l’emploi de buses espacées de 25 cm et les autres fonctions d’</w:t>
      </w:r>
      <w:proofErr w:type="spellStart"/>
      <w:r>
        <w:rPr>
          <w:rFonts w:ascii="Arial" w:hAnsi="Arial"/>
        </w:rPr>
        <w:t>AmaSelect</w:t>
      </w:r>
      <w:proofErr w:type="spellEnd"/>
      <w:r>
        <w:rPr>
          <w:rFonts w:ascii="Arial" w:hAnsi="Arial"/>
        </w:rPr>
        <w:t xml:space="preserve"> déjà parfaitement éprouvées dans la pratique. Ces fonctions, telles que le changement de buse automatique ou l’application en bandes rendent la protection phytosanitaire flexible, efficace et adaptée aux différents besoins. </w:t>
      </w:r>
    </w:p>
    <w:p w14:paraId="6DFEE468" w14:textId="77777777" w:rsidR="007805AF" w:rsidRPr="007805AF" w:rsidRDefault="007805AF" w:rsidP="007805AF">
      <w:pPr>
        <w:spacing w:after="120" w:line="360" w:lineRule="auto"/>
        <w:ind w:left="567" w:right="1695"/>
        <w:rPr>
          <w:rFonts w:ascii="Arial" w:eastAsia="Arial" w:hAnsi="Arial" w:cs="Arial"/>
        </w:rPr>
      </w:pPr>
    </w:p>
    <w:p w14:paraId="7D5B8EA0" w14:textId="77777777" w:rsidR="007805AF" w:rsidRPr="007805AF" w:rsidRDefault="007805AF" w:rsidP="007805AF">
      <w:pPr>
        <w:spacing w:after="120" w:line="360" w:lineRule="auto"/>
        <w:ind w:left="567" w:right="1695"/>
        <w:rPr>
          <w:rFonts w:ascii="Arial" w:eastAsia="Arial" w:hAnsi="Arial" w:cs="Arial"/>
          <w:b/>
          <w:bCs/>
        </w:rPr>
      </w:pPr>
      <w:proofErr w:type="spellStart"/>
      <w:r>
        <w:rPr>
          <w:rFonts w:ascii="Arial" w:hAnsi="Arial"/>
          <w:b/>
        </w:rPr>
        <w:t>AmaSelect</w:t>
      </w:r>
      <w:proofErr w:type="spellEnd"/>
      <w:r>
        <w:rPr>
          <w:rFonts w:ascii="Arial" w:hAnsi="Arial"/>
          <w:b/>
        </w:rPr>
        <w:t xml:space="preserve"> – la solution pour un grande variété d’applications</w:t>
      </w:r>
    </w:p>
    <w:p w14:paraId="3C7B97D2"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Les différentes fonctionnalités facilitent le travail de l'agriculteur. L’éclairage LED buse à buse garantit la sécurité du travail nocturne, lorsque les conditions d’application sont optimales. La coupure buse à buse, associée au pilotage </w:t>
      </w:r>
      <w:r>
        <w:rPr>
          <w:rFonts w:ascii="Arial" w:hAnsi="Arial"/>
        </w:rPr>
        <w:lastRenderedPageBreak/>
        <w:t>automatique par GPS facilite énormément le travail grâce aux tronçons de 50 cm qui annulent quasiment les recouvrements, même dans les parcelles aux contours les plus tortueux.</w:t>
      </w:r>
    </w:p>
    <w:p w14:paraId="6C7C2B54" w14:textId="77777777" w:rsidR="007805AF" w:rsidRPr="007805AF" w:rsidRDefault="007805AF" w:rsidP="007805AF">
      <w:pPr>
        <w:spacing w:after="120" w:line="360" w:lineRule="auto"/>
        <w:ind w:left="567" w:right="1695"/>
        <w:rPr>
          <w:rFonts w:ascii="Arial" w:eastAsia="Arial" w:hAnsi="Arial" w:cs="Arial"/>
        </w:rPr>
      </w:pPr>
    </w:p>
    <w:p w14:paraId="72971FC3" w14:textId="77777777" w:rsidR="007805AF" w:rsidRPr="007805AF" w:rsidRDefault="007805AF" w:rsidP="007805AF">
      <w:pPr>
        <w:spacing w:after="120" w:line="360" w:lineRule="auto"/>
        <w:ind w:left="567" w:right="1695"/>
        <w:rPr>
          <w:rFonts w:ascii="Arial" w:eastAsia="Arial" w:hAnsi="Arial" w:cs="Arial"/>
        </w:rPr>
      </w:pPr>
      <w:r>
        <w:rPr>
          <w:rFonts w:ascii="Arial" w:hAnsi="Arial"/>
        </w:rPr>
        <w:t>Les atouts particuliers d’</w:t>
      </w:r>
      <w:proofErr w:type="spellStart"/>
      <w:r>
        <w:rPr>
          <w:rFonts w:ascii="Arial" w:hAnsi="Arial"/>
        </w:rPr>
        <w:t>AmaSelect</w:t>
      </w:r>
      <w:proofErr w:type="spellEnd"/>
      <w:r>
        <w:rPr>
          <w:rFonts w:ascii="Arial" w:hAnsi="Arial"/>
        </w:rPr>
        <w:t xml:space="preserve"> résident cependant dans la coupure intelligente des buses.</w:t>
      </w:r>
    </w:p>
    <w:p w14:paraId="2AAA6B69" w14:textId="77777777" w:rsidR="007805AF" w:rsidRPr="007805AF" w:rsidRDefault="007805AF" w:rsidP="007805AF">
      <w:pPr>
        <w:spacing w:after="120" w:line="360" w:lineRule="auto"/>
        <w:ind w:left="567" w:right="1695"/>
        <w:rPr>
          <w:rFonts w:ascii="Arial" w:eastAsia="Arial" w:hAnsi="Arial" w:cs="Arial"/>
        </w:rPr>
      </w:pPr>
    </w:p>
    <w:p w14:paraId="66E76073"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Exemple de combinaisons de buses lors du changement automatique</w:t>
      </w:r>
    </w:p>
    <w:p w14:paraId="556C1CA7"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En plus de la coupure manuelle, </w:t>
      </w:r>
      <w:proofErr w:type="spellStart"/>
      <w:r>
        <w:rPr>
          <w:rFonts w:ascii="Arial" w:hAnsi="Arial"/>
        </w:rPr>
        <w:t>AmaSelect</w:t>
      </w:r>
      <w:proofErr w:type="spellEnd"/>
      <w:r>
        <w:rPr>
          <w:rFonts w:ascii="Arial" w:hAnsi="Arial"/>
        </w:rPr>
        <w:t xml:space="preserve"> est en mesure de couper les buses en mode entièrement automatique, en fonction de la pression de pulvérisation et de combiner des buses. Cette fonction offre à l’utilisateur la possibilité, selon la situation, de varier la vitesse d’avancement ou la dose, tout en maintenant le spectre de gouttelettes dans la plage souhaitée.</w:t>
      </w:r>
    </w:p>
    <w:p w14:paraId="2F941CB1" w14:textId="77777777" w:rsidR="007805AF" w:rsidRPr="007805AF" w:rsidRDefault="007805AF" w:rsidP="007805AF">
      <w:pPr>
        <w:spacing w:after="120" w:line="360" w:lineRule="auto"/>
        <w:ind w:left="567" w:right="1695"/>
        <w:rPr>
          <w:rFonts w:ascii="Arial" w:eastAsia="Arial" w:hAnsi="Arial" w:cs="Arial"/>
        </w:rPr>
      </w:pPr>
    </w:p>
    <w:p w14:paraId="601D8CF6"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 xml:space="preserve">Compensation de débit en courbe </w:t>
      </w:r>
      <w:proofErr w:type="spellStart"/>
      <w:r>
        <w:rPr>
          <w:rFonts w:ascii="Arial" w:hAnsi="Arial"/>
          <w:b/>
        </w:rPr>
        <w:t>CurveControl</w:t>
      </w:r>
      <w:proofErr w:type="spellEnd"/>
    </w:p>
    <w:p w14:paraId="68B5B153"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Dans les virages, il faut faire face au problème de surdosage à l’intérieur et de sous-dosage à l’extérieur de la courbe. Coté intérieur, le risque est d’endommager les cultures (phytotoxicité) et côté extérieur de faire face à un taux élevé d’adventices et de favoriser les résistances. </w:t>
      </w:r>
    </w:p>
    <w:p w14:paraId="1D60B5F0" w14:textId="77777777" w:rsidR="007805AF" w:rsidRPr="007805AF" w:rsidRDefault="007805AF" w:rsidP="007805AF">
      <w:pPr>
        <w:spacing w:after="120" w:line="360" w:lineRule="auto"/>
        <w:ind w:left="567" w:right="1695"/>
        <w:rPr>
          <w:rFonts w:ascii="Arial" w:eastAsia="Arial" w:hAnsi="Arial" w:cs="Arial"/>
        </w:rPr>
      </w:pPr>
    </w:p>
    <w:p w14:paraId="22308A89" w14:textId="77777777" w:rsidR="007805AF" w:rsidRPr="007805AF" w:rsidRDefault="007805AF" w:rsidP="007805AF">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w:t>
      </w:r>
      <w:proofErr w:type="spellStart"/>
      <w:r>
        <w:rPr>
          <w:rFonts w:ascii="Arial" w:hAnsi="Arial"/>
        </w:rPr>
        <w:t>CurveControl</w:t>
      </w:r>
      <w:proofErr w:type="spellEnd"/>
      <w:r>
        <w:rPr>
          <w:rFonts w:ascii="Arial" w:hAnsi="Arial"/>
        </w:rPr>
        <w:t xml:space="preserve"> apporte la solution à ce problème en adaptant automatiquement le calibre de buse en fonction du rayon du virage, afin de respecter, avec le plus de précision possible, la dose souhaitée sur toute la largeur de rampe.</w:t>
      </w:r>
    </w:p>
    <w:p w14:paraId="3B3F7526" w14:textId="77777777" w:rsidR="007805AF" w:rsidRPr="007805AF" w:rsidRDefault="007805AF" w:rsidP="007805AF">
      <w:pPr>
        <w:spacing w:after="120" w:line="360" w:lineRule="auto"/>
        <w:ind w:left="567" w:right="1695"/>
        <w:rPr>
          <w:rFonts w:ascii="Arial" w:eastAsia="Arial" w:hAnsi="Arial" w:cs="Arial"/>
        </w:rPr>
      </w:pPr>
    </w:p>
    <w:p w14:paraId="0C7E024F" w14:textId="77777777" w:rsidR="007805AF" w:rsidRPr="007805AF" w:rsidRDefault="007805AF" w:rsidP="007805AF">
      <w:pPr>
        <w:spacing w:after="120" w:line="360" w:lineRule="auto"/>
        <w:ind w:left="567" w:right="1695"/>
        <w:rPr>
          <w:rFonts w:ascii="Arial" w:eastAsia="Arial" w:hAnsi="Arial" w:cs="Arial"/>
          <w:b/>
          <w:bCs/>
        </w:rPr>
      </w:pPr>
      <w:proofErr w:type="spellStart"/>
      <w:r>
        <w:rPr>
          <w:rFonts w:ascii="Arial" w:hAnsi="Arial"/>
          <w:b/>
        </w:rPr>
        <w:t>AmaSelect</w:t>
      </w:r>
      <w:proofErr w:type="spellEnd"/>
      <w:r>
        <w:rPr>
          <w:rFonts w:ascii="Arial" w:hAnsi="Arial"/>
          <w:b/>
        </w:rPr>
        <w:t xml:space="preserve"> Row – la pulvérisation en bandes ingénieuse</w:t>
      </w:r>
    </w:p>
    <w:p w14:paraId="592B3976"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Le succès de l’application en bandes exige beaucoup de l'opérateur. En fonction de la situation, il faut passer d’une buse à l’autre, modifier le débit et le cas échéant ajuster la hauteur de rampe. </w:t>
      </w:r>
    </w:p>
    <w:p w14:paraId="6A483683" w14:textId="77777777" w:rsidR="007805AF" w:rsidRPr="007805AF" w:rsidRDefault="007805AF" w:rsidP="007805AF">
      <w:pPr>
        <w:spacing w:after="120" w:line="360" w:lineRule="auto"/>
        <w:ind w:left="567" w:right="1695"/>
        <w:rPr>
          <w:rFonts w:ascii="Arial" w:eastAsia="Arial" w:hAnsi="Arial" w:cs="Arial"/>
        </w:rPr>
      </w:pPr>
    </w:p>
    <w:p w14:paraId="6F6026D7" w14:textId="77777777" w:rsidR="007805AF" w:rsidRPr="007805AF" w:rsidRDefault="007805AF" w:rsidP="007805AF">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Row simplifie grandement cette application. Le conducteur doit juste saisir l’écart entre les rangs et les doses souhaitées. S’il faut passer de l’application en bandes à l’application en plein, il suffit d’appuyer sur un bouton : le passage de la buse d’application en bandes à la buse d’application en plein est automatique, le débit et la hauteur de la rampe sont aussi ajustés automatiquement. </w:t>
      </w:r>
      <w:proofErr w:type="spellStart"/>
      <w:r>
        <w:rPr>
          <w:rFonts w:ascii="Arial" w:hAnsi="Arial"/>
        </w:rPr>
        <w:t>AmaSelect</w:t>
      </w:r>
      <w:proofErr w:type="spellEnd"/>
      <w:r>
        <w:rPr>
          <w:rFonts w:ascii="Arial" w:hAnsi="Arial"/>
        </w:rPr>
        <w:t xml:space="preserve"> Row facilite l’application en bandes et offre un potentiel d'économies considérable.</w:t>
      </w:r>
    </w:p>
    <w:p w14:paraId="56BEEB7B" w14:textId="77777777" w:rsidR="007805AF" w:rsidRPr="007805AF" w:rsidRDefault="007805AF" w:rsidP="007805AF">
      <w:pPr>
        <w:spacing w:after="120" w:line="360" w:lineRule="auto"/>
        <w:ind w:left="567" w:right="1695"/>
        <w:rPr>
          <w:rFonts w:ascii="Arial" w:eastAsia="Arial" w:hAnsi="Arial" w:cs="Arial"/>
        </w:rPr>
      </w:pPr>
    </w:p>
    <w:p w14:paraId="755CC4BE" w14:textId="77777777" w:rsidR="007805AF" w:rsidRPr="007805AF" w:rsidRDefault="007805AF" w:rsidP="007805AF">
      <w:pPr>
        <w:spacing w:after="120" w:line="360" w:lineRule="auto"/>
        <w:ind w:left="567" w:right="1695"/>
        <w:rPr>
          <w:rFonts w:ascii="Arial" w:eastAsia="Arial" w:hAnsi="Arial" w:cs="Arial"/>
          <w:b/>
          <w:bCs/>
        </w:rPr>
      </w:pPr>
      <w:proofErr w:type="spellStart"/>
      <w:r>
        <w:rPr>
          <w:rFonts w:ascii="Arial" w:hAnsi="Arial"/>
          <w:b/>
        </w:rPr>
        <w:t>AmaSelect</w:t>
      </w:r>
      <w:proofErr w:type="spellEnd"/>
      <w:r>
        <w:rPr>
          <w:rFonts w:ascii="Arial" w:hAnsi="Arial"/>
          <w:b/>
        </w:rPr>
        <w:t xml:space="preserve"> Spot – protection des cultures ultra ciblée, encore plus précise</w:t>
      </w:r>
    </w:p>
    <w:p w14:paraId="02F49EEB"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L’application ciblée dépend de la rapidité de coupure des buses afin que les zones traitées soient aussi petites que possible. Par ailleurs, le volume de données des cartes de zones à traiter peut devenir problématique si le taux d’adventices est élevé. </w:t>
      </w:r>
    </w:p>
    <w:p w14:paraId="7D815471" w14:textId="77777777" w:rsidR="007805AF" w:rsidRPr="007805AF" w:rsidRDefault="007805AF" w:rsidP="007805AF">
      <w:pPr>
        <w:spacing w:after="120" w:line="360" w:lineRule="auto"/>
        <w:ind w:left="567" w:right="1695"/>
        <w:rPr>
          <w:rFonts w:ascii="Arial" w:eastAsia="Arial" w:hAnsi="Arial" w:cs="Arial"/>
        </w:rPr>
      </w:pPr>
    </w:p>
    <w:p w14:paraId="6591604C" w14:textId="77777777" w:rsidR="007805AF" w:rsidRPr="007805AF" w:rsidRDefault="007805AF" w:rsidP="007805AF">
      <w:pPr>
        <w:spacing w:after="120" w:line="360" w:lineRule="auto"/>
        <w:ind w:left="567" w:right="1695"/>
        <w:rPr>
          <w:rFonts w:ascii="Arial" w:eastAsia="Arial" w:hAnsi="Arial" w:cs="Arial"/>
        </w:rPr>
      </w:pPr>
      <w:r>
        <w:rPr>
          <w:rFonts w:ascii="Arial" w:hAnsi="Arial"/>
        </w:rPr>
        <w:t>Associé à l’</w:t>
      </w:r>
      <w:proofErr w:type="spellStart"/>
      <w:r>
        <w:rPr>
          <w:rFonts w:ascii="Arial" w:hAnsi="Arial"/>
        </w:rPr>
        <w:t>AmaTron</w:t>
      </w:r>
      <w:proofErr w:type="spellEnd"/>
      <w:r>
        <w:rPr>
          <w:rFonts w:ascii="Arial" w:hAnsi="Arial"/>
        </w:rPr>
        <w:t xml:space="preserve"> 4, </w:t>
      </w:r>
      <w:proofErr w:type="spellStart"/>
      <w:r>
        <w:rPr>
          <w:rFonts w:ascii="Arial" w:hAnsi="Arial"/>
        </w:rPr>
        <w:t>AmaSelect</w:t>
      </w:r>
      <w:proofErr w:type="spellEnd"/>
      <w:r>
        <w:rPr>
          <w:rFonts w:ascii="Arial" w:hAnsi="Arial"/>
        </w:rPr>
        <w:t xml:space="preserve"> Spot réalise une application ciblée précise. L'utilisation du format point dans les cartes d’application réduit considérablement la quantité de données travaillée par l’</w:t>
      </w:r>
      <w:proofErr w:type="spellStart"/>
      <w:r>
        <w:rPr>
          <w:rFonts w:ascii="Arial" w:hAnsi="Arial"/>
        </w:rPr>
        <w:t>AmaTron</w:t>
      </w:r>
      <w:proofErr w:type="spellEnd"/>
      <w:r>
        <w:rPr>
          <w:rFonts w:ascii="Arial" w:hAnsi="Arial"/>
        </w:rPr>
        <w:t> 4. Ceci, combiné à la coupure rapide du porte-jet, permet une pulvérisation ciblée fiable et facile à mettre en œuvre.</w:t>
      </w:r>
    </w:p>
    <w:p w14:paraId="15282DF0" w14:textId="77777777" w:rsidR="007805AF" w:rsidRPr="007805AF" w:rsidRDefault="007805AF" w:rsidP="007805AF">
      <w:pPr>
        <w:spacing w:after="120" w:line="360" w:lineRule="auto"/>
        <w:ind w:left="567" w:right="1695"/>
        <w:rPr>
          <w:rFonts w:ascii="Arial" w:eastAsia="Arial" w:hAnsi="Arial" w:cs="Arial"/>
        </w:rPr>
      </w:pPr>
    </w:p>
    <w:p w14:paraId="4176F9FF"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 xml:space="preserve">Buses à 25 cm – plus de polyvalence compatible avec </w:t>
      </w:r>
      <w:proofErr w:type="gramStart"/>
      <w:r>
        <w:rPr>
          <w:rFonts w:ascii="Arial" w:hAnsi="Arial"/>
          <w:b/>
        </w:rPr>
        <w:t>les application localisées</w:t>
      </w:r>
      <w:proofErr w:type="gramEnd"/>
    </w:p>
    <w:p w14:paraId="0C61931E" w14:textId="77777777" w:rsidR="007805AF" w:rsidRPr="007805AF" w:rsidRDefault="007805AF" w:rsidP="007805AF">
      <w:pPr>
        <w:spacing w:after="120" w:line="360" w:lineRule="auto"/>
        <w:ind w:left="567" w:right="1695"/>
        <w:rPr>
          <w:rFonts w:ascii="Arial" w:eastAsia="Arial" w:hAnsi="Arial" w:cs="Arial"/>
        </w:rPr>
      </w:pPr>
      <w:r>
        <w:rPr>
          <w:rFonts w:ascii="Arial" w:hAnsi="Arial"/>
        </w:rPr>
        <w:t>Avec le kit de décalage des buses (option), 2 des 4 buses d’</w:t>
      </w:r>
      <w:proofErr w:type="spellStart"/>
      <w:r>
        <w:rPr>
          <w:rFonts w:ascii="Arial" w:hAnsi="Arial"/>
        </w:rPr>
        <w:t>AmaSelect</w:t>
      </w:r>
      <w:proofErr w:type="spellEnd"/>
      <w:r>
        <w:rPr>
          <w:rFonts w:ascii="Arial" w:hAnsi="Arial"/>
        </w:rPr>
        <w:t xml:space="preserve"> sont déportées de 12,5 cm pour obtenir un écart de 25 cm entre les buses. </w:t>
      </w:r>
    </w:p>
    <w:p w14:paraId="16559375" w14:textId="77777777" w:rsidR="007805AF" w:rsidRPr="007805AF" w:rsidRDefault="007805AF" w:rsidP="007805AF">
      <w:pPr>
        <w:spacing w:after="120" w:line="360" w:lineRule="auto"/>
        <w:ind w:left="567" w:right="1695"/>
        <w:rPr>
          <w:rFonts w:ascii="Arial" w:eastAsia="Arial" w:hAnsi="Arial" w:cs="Arial"/>
        </w:rPr>
      </w:pPr>
    </w:p>
    <w:p w14:paraId="6C06B3C3"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Dans la pratique, un écart réduit entre les buses offre de multiples avantages : la hauteur de rampe étant réduite, la dérive est limitée, en particulier en bordure </w:t>
      </w:r>
      <w:r>
        <w:rPr>
          <w:rFonts w:ascii="Arial" w:hAnsi="Arial"/>
        </w:rPr>
        <w:lastRenderedPageBreak/>
        <w:t xml:space="preserve">de parcelle. Simultanément, la pénétration et donc l'efficacité du traitement est améliorée, en particulier dans les cultures denses. </w:t>
      </w:r>
    </w:p>
    <w:p w14:paraId="582B2BE3" w14:textId="77777777" w:rsidR="007805AF" w:rsidRPr="007805AF" w:rsidRDefault="007805AF" w:rsidP="007805AF">
      <w:pPr>
        <w:spacing w:after="120" w:line="360" w:lineRule="auto"/>
        <w:ind w:left="567" w:right="1695"/>
        <w:rPr>
          <w:rFonts w:ascii="Arial" w:eastAsia="Arial" w:hAnsi="Arial" w:cs="Arial"/>
        </w:rPr>
      </w:pPr>
    </w:p>
    <w:p w14:paraId="0B3F7A76"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Associé à </w:t>
      </w:r>
      <w:proofErr w:type="spellStart"/>
      <w:r>
        <w:rPr>
          <w:rFonts w:ascii="Arial" w:hAnsi="Arial"/>
        </w:rPr>
        <w:t>AmaSelect</w:t>
      </w:r>
      <w:proofErr w:type="spellEnd"/>
      <w:r>
        <w:rPr>
          <w:rFonts w:ascii="Arial" w:hAnsi="Arial"/>
        </w:rPr>
        <w:t xml:space="preserve"> Row et </w:t>
      </w:r>
      <w:proofErr w:type="spellStart"/>
      <w:r>
        <w:rPr>
          <w:rFonts w:ascii="Arial" w:hAnsi="Arial"/>
        </w:rPr>
        <w:t>AmaSelect</w:t>
      </w:r>
      <w:proofErr w:type="spellEnd"/>
      <w:r>
        <w:rPr>
          <w:rFonts w:ascii="Arial" w:hAnsi="Arial"/>
        </w:rPr>
        <w:t xml:space="preserve"> Spot, l’écart de buses de 25 cm offre des avantages complémentaires. L’application en bandes est très répandue, en particulier dans les cultures de pommes de terre sur les inter-rangs de 75 cm. </w:t>
      </w:r>
      <w:proofErr w:type="spellStart"/>
      <w:r>
        <w:rPr>
          <w:rFonts w:ascii="Arial" w:hAnsi="Arial"/>
        </w:rPr>
        <w:t>AmaSelect</w:t>
      </w:r>
      <w:proofErr w:type="spellEnd"/>
      <w:r>
        <w:rPr>
          <w:rFonts w:ascii="Arial" w:hAnsi="Arial"/>
        </w:rPr>
        <w:t xml:space="preserve"> Row coupe alors par exemple une buse sur trois du jeu de transfert pour traiter le rang. </w:t>
      </w:r>
    </w:p>
    <w:p w14:paraId="1D49AFED" w14:textId="77777777" w:rsidR="007805AF" w:rsidRPr="007805AF" w:rsidRDefault="007805AF" w:rsidP="007805AF">
      <w:pPr>
        <w:spacing w:after="120" w:line="360" w:lineRule="auto"/>
        <w:ind w:left="567" w:right="1695"/>
        <w:rPr>
          <w:rFonts w:ascii="Arial" w:eastAsia="Arial" w:hAnsi="Arial" w:cs="Arial"/>
        </w:rPr>
      </w:pPr>
    </w:p>
    <w:p w14:paraId="30819898" w14:textId="2EEECD46" w:rsidR="00ED4605" w:rsidRDefault="007805AF" w:rsidP="007805AF">
      <w:pPr>
        <w:spacing w:after="120" w:line="360" w:lineRule="auto"/>
        <w:ind w:left="567" w:right="1695"/>
        <w:rPr>
          <w:rFonts w:ascii="Arial" w:eastAsia="Arial" w:hAnsi="Arial" w:cs="Arial"/>
        </w:rPr>
      </w:pPr>
      <w:r>
        <w:rPr>
          <w:rFonts w:ascii="Arial" w:hAnsi="Arial"/>
        </w:rPr>
        <w:t xml:space="preserve">L’écart de 25 cm entre les buses permet également une meilleure précision pour la </w:t>
      </w:r>
      <w:proofErr w:type="spellStart"/>
      <w:r>
        <w:rPr>
          <w:rFonts w:ascii="Arial" w:hAnsi="Arial"/>
        </w:rPr>
        <w:t>pulvarisation</w:t>
      </w:r>
      <w:proofErr w:type="spellEnd"/>
      <w:r>
        <w:rPr>
          <w:rFonts w:ascii="Arial" w:hAnsi="Arial"/>
        </w:rPr>
        <w:t xml:space="preserve"> ciblée. Les buses de précision spéciales permettent de réaliser des zones précises avec une répartition optimale.</w:t>
      </w:r>
    </w:p>
    <w:p w14:paraId="79C35239" w14:textId="77777777" w:rsidR="00D34808" w:rsidRDefault="00D34808" w:rsidP="00ED4605">
      <w:pPr>
        <w:spacing w:after="120" w:line="360" w:lineRule="auto"/>
        <w:ind w:left="567" w:right="1695"/>
        <w:rPr>
          <w:rFonts w:ascii="Arial" w:eastAsia="Arial" w:hAnsi="Arial" w:cs="Arial"/>
        </w:rPr>
      </w:pPr>
    </w:p>
    <w:p w14:paraId="0C2530BB" w14:textId="77777777" w:rsidR="0039244D" w:rsidRDefault="0039244D"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E9111DB" w14:textId="7A979E16" w:rsidR="007805AF"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Qualité d’application parfaite avec des vitesses d’avancement et des doses variables</w:t>
      </w:r>
    </w:p>
    <w:p w14:paraId="1E66EC8E" w14:textId="72F9742C" w:rsidR="007805AF"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Changement automatique de buse et compensation de courbe avec un écart entre buses de 25 cm</w:t>
      </w:r>
    </w:p>
    <w:p w14:paraId="32587084" w14:textId="7866EDBF" w:rsidR="00532DA0"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Une configuration de buse optimale pour chaque application – sans changement manuel de buse</w:t>
      </w:r>
    </w:p>
    <w:p w14:paraId="5C6EE04B" w14:textId="77777777" w:rsidR="00F4316E" w:rsidRDefault="00F4316E" w:rsidP="00F4316E">
      <w:pPr>
        <w:spacing w:after="120" w:line="360" w:lineRule="auto"/>
        <w:ind w:left="567" w:right="1695"/>
        <w:rPr>
          <w:rFonts w:ascii="Arial" w:eastAsia="Arial" w:hAnsi="Arial" w:cs="Arial"/>
        </w:rPr>
      </w:pPr>
    </w:p>
    <w:p w14:paraId="25E71232" w14:textId="77777777" w:rsidR="00D34808" w:rsidRDefault="00D34808" w:rsidP="00F4316E">
      <w:pPr>
        <w:spacing w:after="120" w:line="360" w:lineRule="auto"/>
        <w:ind w:left="567" w:right="1695"/>
        <w:rPr>
          <w:rFonts w:ascii="Arial" w:eastAsia="Arial" w:hAnsi="Arial" w:cs="Arial"/>
        </w:rPr>
      </w:pPr>
    </w:p>
    <w:p w14:paraId="09C45FDA" w14:textId="5834D93A" w:rsidR="00482519" w:rsidRDefault="00482519" w:rsidP="00482519">
      <w:pPr>
        <w:spacing w:after="120" w:line="360" w:lineRule="auto"/>
        <w:ind w:left="567" w:right="1695"/>
        <w:rPr>
          <w:rFonts w:ascii="Arial" w:eastAsia="Arial" w:hAnsi="Arial" w:cs="Arial"/>
        </w:rPr>
      </w:pPr>
      <w:r>
        <w:rPr>
          <w:rFonts w:ascii="Arial" w:hAnsi="Arial"/>
          <w:noProof/>
        </w:rPr>
        <w:lastRenderedPageBreak/>
        <w:drawing>
          <wp:inline distT="0" distB="0" distL="0" distR="0" wp14:anchorId="7E7E7CFA" wp14:editId="7D25FB08">
            <wp:extent cx="4064400" cy="2880000"/>
            <wp:effectExtent l="0" t="0" r="0" b="3175"/>
            <wp:docPr id="86519911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99116" name="Grafik 8651991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7310A46" w14:textId="77777777" w:rsidR="00482519" w:rsidRPr="00482519" w:rsidRDefault="00482519" w:rsidP="00482519">
      <w:pPr>
        <w:spacing w:after="120" w:line="360" w:lineRule="auto"/>
        <w:ind w:left="567" w:right="1695"/>
        <w:rPr>
          <w:rFonts w:ascii="Arial" w:eastAsia="Arial" w:hAnsi="Arial" w:cs="Arial"/>
        </w:rPr>
      </w:pPr>
      <w:r>
        <w:rPr>
          <w:rFonts w:ascii="Arial" w:hAnsi="Arial"/>
        </w:rPr>
        <w:t xml:space="preserve">Les nouveaux jeux d’extensions </w:t>
      </w:r>
      <w:proofErr w:type="spellStart"/>
      <w:r>
        <w:rPr>
          <w:rFonts w:ascii="Arial" w:hAnsi="Arial"/>
        </w:rPr>
        <w:t>AmaSelect</w:t>
      </w:r>
      <w:proofErr w:type="spellEnd"/>
      <w:r>
        <w:rPr>
          <w:rFonts w:ascii="Arial" w:hAnsi="Arial"/>
        </w:rPr>
        <w:t> </w:t>
      </w:r>
      <w:proofErr w:type="spellStart"/>
      <w:r>
        <w:rPr>
          <w:rFonts w:ascii="Arial" w:hAnsi="Arial"/>
        </w:rPr>
        <w:t>twin</w:t>
      </w:r>
      <w:proofErr w:type="spellEnd"/>
      <w:r>
        <w:rPr>
          <w:rFonts w:ascii="Arial" w:hAnsi="Arial"/>
        </w:rPr>
        <w:t xml:space="preserve"> offrent une flexibilité maximale pour les buses à 25 cm</w:t>
      </w:r>
    </w:p>
    <w:p w14:paraId="4D9DF680" w14:textId="77777777" w:rsidR="00482519" w:rsidRDefault="00482519" w:rsidP="00482519">
      <w:pPr>
        <w:spacing w:after="120" w:line="360" w:lineRule="auto"/>
        <w:ind w:left="567" w:right="1695"/>
        <w:rPr>
          <w:rFonts w:ascii="Arial" w:eastAsia="Arial" w:hAnsi="Arial" w:cs="Arial"/>
        </w:rPr>
      </w:pPr>
    </w:p>
    <w:p w14:paraId="72498138" w14:textId="77777777" w:rsidR="00482519" w:rsidRDefault="00482519" w:rsidP="00482519">
      <w:pPr>
        <w:spacing w:after="120" w:line="360" w:lineRule="auto"/>
        <w:ind w:left="567" w:right="1695"/>
        <w:rPr>
          <w:rFonts w:ascii="Arial" w:eastAsia="Arial" w:hAnsi="Arial" w:cs="Arial"/>
        </w:rPr>
      </w:pPr>
    </w:p>
    <w:p w14:paraId="5AB2EC0F" w14:textId="2F89C5AE" w:rsidR="00482519" w:rsidRDefault="00482519" w:rsidP="00482519">
      <w:pPr>
        <w:spacing w:after="120" w:line="360" w:lineRule="auto"/>
        <w:ind w:left="567" w:right="1695"/>
        <w:rPr>
          <w:rFonts w:ascii="Arial" w:eastAsia="Arial" w:hAnsi="Arial" w:cs="Arial"/>
        </w:rPr>
      </w:pPr>
      <w:r>
        <w:rPr>
          <w:rFonts w:ascii="Arial" w:hAnsi="Arial"/>
          <w:noProof/>
        </w:rPr>
        <w:drawing>
          <wp:inline distT="0" distB="0" distL="0" distR="0" wp14:anchorId="5371676C" wp14:editId="671A75CC">
            <wp:extent cx="4064400" cy="2880000"/>
            <wp:effectExtent l="0" t="0" r="0" b="3175"/>
            <wp:docPr id="51558147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581472" name="Grafik 51558147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8BED55A" w14:textId="77777777" w:rsidR="00482519" w:rsidRPr="00482519" w:rsidRDefault="00482519" w:rsidP="00482519">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w:t>
      </w:r>
      <w:proofErr w:type="spellStart"/>
      <w:r>
        <w:rPr>
          <w:rFonts w:ascii="Arial" w:hAnsi="Arial"/>
        </w:rPr>
        <w:t>twin</w:t>
      </w:r>
      <w:proofErr w:type="spellEnd"/>
      <w:r>
        <w:rPr>
          <w:rFonts w:ascii="Arial" w:hAnsi="Arial"/>
        </w:rPr>
        <w:t xml:space="preserve"> 2-2-2 : Alimentation des buses décalées suivant les flèches</w:t>
      </w:r>
    </w:p>
    <w:p w14:paraId="7A7C332E" w14:textId="77777777" w:rsidR="00482519" w:rsidRDefault="00482519" w:rsidP="00F4316E">
      <w:pPr>
        <w:spacing w:after="120" w:line="360" w:lineRule="auto"/>
        <w:ind w:left="567" w:right="1695"/>
        <w:rPr>
          <w:rFonts w:ascii="Arial" w:eastAsia="Arial" w:hAnsi="Arial" w:cs="Arial"/>
        </w:rPr>
      </w:pPr>
    </w:p>
    <w:p w14:paraId="3A60F43D" w14:textId="77777777" w:rsidR="00482519" w:rsidRDefault="00482519" w:rsidP="00F4316E">
      <w:pPr>
        <w:spacing w:after="120" w:line="360" w:lineRule="auto"/>
        <w:ind w:left="567" w:right="1695"/>
        <w:rPr>
          <w:rFonts w:ascii="Arial" w:eastAsia="Arial" w:hAnsi="Arial" w:cs="Arial"/>
        </w:rPr>
      </w:pPr>
    </w:p>
    <w:p w14:paraId="2AEAEF39" w14:textId="0A5E478B" w:rsidR="00482519" w:rsidRDefault="00482519"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5DEB615B" wp14:editId="55A647B9">
            <wp:extent cx="4064400" cy="2880000"/>
            <wp:effectExtent l="0" t="0" r="0" b="3175"/>
            <wp:docPr id="182533904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39040" name="Grafik 182533904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1211B7B0" w14:textId="77777777" w:rsidR="00482519" w:rsidRPr="00482519" w:rsidRDefault="00482519" w:rsidP="00482519">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w:t>
      </w:r>
      <w:proofErr w:type="spellStart"/>
      <w:r>
        <w:rPr>
          <w:rFonts w:ascii="Arial" w:hAnsi="Arial"/>
        </w:rPr>
        <w:t>twin</w:t>
      </w:r>
      <w:proofErr w:type="spellEnd"/>
      <w:r>
        <w:rPr>
          <w:rFonts w:ascii="Arial" w:hAnsi="Arial"/>
        </w:rPr>
        <w:t xml:space="preserve"> 2-1-2 : Alimentation des buses décalées suivant les flèches</w:t>
      </w:r>
    </w:p>
    <w:p w14:paraId="7720FC6D" w14:textId="77777777" w:rsidR="0039244D" w:rsidRDefault="0039244D" w:rsidP="00F4316E">
      <w:pPr>
        <w:spacing w:after="120" w:line="360" w:lineRule="auto"/>
        <w:ind w:left="567" w:right="1695"/>
        <w:rPr>
          <w:rFonts w:ascii="Arial" w:eastAsia="Arial" w:hAnsi="Arial" w:cs="Arial"/>
        </w:rPr>
      </w:pPr>
    </w:p>
    <w:p w14:paraId="51EAB4E9" w14:textId="77777777" w:rsidR="00482519" w:rsidRDefault="00482519" w:rsidP="00F4316E">
      <w:pPr>
        <w:spacing w:after="120" w:line="360" w:lineRule="auto"/>
        <w:ind w:left="567" w:right="1695"/>
        <w:rPr>
          <w:rFonts w:ascii="Arial" w:eastAsia="Arial" w:hAnsi="Arial" w:cs="Arial"/>
        </w:rPr>
      </w:pPr>
    </w:p>
    <w:p w14:paraId="78101F75" w14:textId="6C379EC8" w:rsidR="00482519" w:rsidRDefault="00482519" w:rsidP="00F4316E">
      <w:pPr>
        <w:spacing w:after="120" w:line="360" w:lineRule="auto"/>
        <w:ind w:left="567" w:right="1695"/>
        <w:rPr>
          <w:rFonts w:ascii="Arial" w:eastAsia="Arial" w:hAnsi="Arial" w:cs="Arial"/>
        </w:rPr>
      </w:pPr>
      <w:r>
        <w:rPr>
          <w:rFonts w:ascii="Arial" w:hAnsi="Arial"/>
          <w:noProof/>
        </w:rPr>
        <w:drawing>
          <wp:inline distT="0" distB="0" distL="0" distR="0" wp14:anchorId="2CD34FE0" wp14:editId="20E0E133">
            <wp:extent cx="4064400" cy="2876244"/>
            <wp:effectExtent l="0" t="0" r="0" b="635"/>
            <wp:docPr id="51415283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2837" name="Grafik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64400" cy="2876244"/>
                    </a:xfrm>
                    <a:prstGeom prst="rect">
                      <a:avLst/>
                    </a:prstGeom>
                  </pic:spPr>
                </pic:pic>
              </a:graphicData>
            </a:graphic>
          </wp:inline>
        </w:drawing>
      </w:r>
    </w:p>
    <w:p w14:paraId="5C6CFB6A" w14:textId="77777777" w:rsidR="00482519" w:rsidRPr="00482519" w:rsidRDefault="00482519" w:rsidP="00482519">
      <w:pPr>
        <w:spacing w:after="120" w:line="360" w:lineRule="auto"/>
        <w:ind w:left="567" w:right="1695"/>
        <w:rPr>
          <w:rFonts w:ascii="Arial" w:eastAsia="Arial" w:hAnsi="Arial" w:cs="Arial"/>
        </w:rPr>
      </w:pPr>
      <w:r>
        <w:rPr>
          <w:rFonts w:ascii="Arial" w:hAnsi="Arial"/>
        </w:rPr>
        <w:t>Exemple de combinaisons de buses lors du changement automatique</w:t>
      </w:r>
    </w:p>
    <w:p w14:paraId="43785862" w14:textId="77777777" w:rsidR="007805AF" w:rsidRDefault="007805AF" w:rsidP="00F4316E">
      <w:pPr>
        <w:spacing w:after="120" w:line="360" w:lineRule="auto"/>
        <w:ind w:left="567" w:right="1695"/>
        <w:rPr>
          <w:rFonts w:ascii="Arial" w:eastAsia="Arial" w:hAnsi="Arial" w:cs="Arial"/>
        </w:rPr>
      </w:pPr>
    </w:p>
    <w:p w14:paraId="6463B7B1" w14:textId="77777777" w:rsidR="00482519" w:rsidRDefault="00482519" w:rsidP="00F4316E">
      <w:pPr>
        <w:spacing w:after="120" w:line="360" w:lineRule="auto"/>
        <w:ind w:left="567" w:right="1695"/>
        <w:rPr>
          <w:rFonts w:ascii="Arial" w:eastAsia="Arial" w:hAnsi="Arial" w:cs="Arial"/>
        </w:rPr>
      </w:pPr>
    </w:p>
    <w:p w14:paraId="4F97859B" w14:textId="70CA73BE" w:rsidR="00482519" w:rsidRDefault="00482519"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21C72986" wp14:editId="59AEC5A3">
            <wp:extent cx="5390194" cy="2880000"/>
            <wp:effectExtent l="0" t="0" r="1270" b="0"/>
            <wp:docPr id="6959741"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9741" name="Grafik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90194" cy="2880000"/>
                    </a:xfrm>
                    <a:prstGeom prst="rect">
                      <a:avLst/>
                    </a:prstGeom>
                  </pic:spPr>
                </pic:pic>
              </a:graphicData>
            </a:graphic>
          </wp:inline>
        </w:drawing>
      </w:r>
    </w:p>
    <w:p w14:paraId="6EA1332F" w14:textId="77777777" w:rsidR="00482519" w:rsidRPr="00482519" w:rsidRDefault="00482519" w:rsidP="00482519">
      <w:pPr>
        <w:spacing w:after="120" w:line="360" w:lineRule="auto"/>
        <w:ind w:left="567" w:right="1695"/>
        <w:rPr>
          <w:rFonts w:ascii="Arial" w:eastAsia="Arial" w:hAnsi="Arial" w:cs="Arial"/>
        </w:rPr>
      </w:pPr>
      <w:r>
        <w:rPr>
          <w:rFonts w:ascii="Arial" w:hAnsi="Arial"/>
        </w:rPr>
        <w:t xml:space="preserve">Comparaison de la dose appliquée en courbe avec et sans </w:t>
      </w:r>
      <w:proofErr w:type="spellStart"/>
      <w:r>
        <w:rPr>
          <w:rFonts w:ascii="Arial" w:hAnsi="Arial"/>
        </w:rPr>
        <w:t>CurveControl</w:t>
      </w:r>
      <w:proofErr w:type="spellEnd"/>
    </w:p>
    <w:p w14:paraId="07847FB9" w14:textId="77777777" w:rsidR="007805AF" w:rsidRDefault="007805AF" w:rsidP="00F4316E">
      <w:pPr>
        <w:spacing w:after="120" w:line="360" w:lineRule="auto"/>
        <w:ind w:left="567" w:right="1695"/>
        <w:rPr>
          <w:rFonts w:ascii="Arial" w:eastAsia="Arial" w:hAnsi="Arial" w:cs="Arial"/>
        </w:rPr>
      </w:pPr>
    </w:p>
    <w:p w14:paraId="41B52D1F" w14:textId="77777777" w:rsidR="00482519" w:rsidRDefault="00482519" w:rsidP="00F4316E">
      <w:pPr>
        <w:spacing w:after="120" w:line="360" w:lineRule="auto"/>
        <w:ind w:left="567" w:right="1695"/>
        <w:rPr>
          <w:rFonts w:ascii="Arial" w:eastAsia="Arial" w:hAnsi="Arial" w:cs="Arial"/>
        </w:rPr>
      </w:pPr>
    </w:p>
    <w:p w14:paraId="730A6E48" w14:textId="0322ECB0" w:rsidR="00482519" w:rsidRDefault="00482519" w:rsidP="00482519">
      <w:pPr>
        <w:spacing w:after="120" w:line="360" w:lineRule="auto"/>
        <w:ind w:left="567" w:right="1695"/>
        <w:rPr>
          <w:rFonts w:ascii="Arial" w:eastAsia="Arial" w:hAnsi="Arial" w:cs="Arial"/>
        </w:rPr>
      </w:pPr>
      <w:r>
        <w:rPr>
          <w:rFonts w:ascii="Arial" w:hAnsi="Arial"/>
          <w:noProof/>
        </w:rPr>
        <w:drawing>
          <wp:inline distT="0" distB="0" distL="0" distR="0" wp14:anchorId="6DDED495" wp14:editId="56AA2DE0">
            <wp:extent cx="6120000" cy="1881977"/>
            <wp:effectExtent l="0" t="0" r="0" b="4445"/>
            <wp:docPr id="174569810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98102" name="Grafik 1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000" cy="1881977"/>
                    </a:xfrm>
                    <a:prstGeom prst="rect">
                      <a:avLst/>
                    </a:prstGeom>
                  </pic:spPr>
                </pic:pic>
              </a:graphicData>
            </a:graphic>
          </wp:inline>
        </w:drawing>
      </w:r>
    </w:p>
    <w:p w14:paraId="302F04B3" w14:textId="77777777" w:rsidR="00482519" w:rsidRPr="00482519" w:rsidRDefault="00482519" w:rsidP="00482519">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Row – application en bandes par exemple sur pommes de terre</w:t>
      </w:r>
    </w:p>
    <w:p w14:paraId="73AC1BCD" w14:textId="77777777" w:rsidR="00482519" w:rsidRDefault="00482519" w:rsidP="00482519">
      <w:pPr>
        <w:spacing w:after="120" w:line="360" w:lineRule="auto"/>
        <w:ind w:left="567" w:right="1695"/>
        <w:rPr>
          <w:rFonts w:ascii="Arial" w:eastAsia="Arial" w:hAnsi="Arial" w:cs="Arial"/>
        </w:rPr>
      </w:pPr>
    </w:p>
    <w:p w14:paraId="507BA0EA" w14:textId="77777777" w:rsidR="00482519" w:rsidRDefault="00482519" w:rsidP="00482519">
      <w:pPr>
        <w:spacing w:after="120" w:line="360" w:lineRule="auto"/>
        <w:ind w:left="567" w:right="1695"/>
        <w:rPr>
          <w:rFonts w:ascii="Arial" w:eastAsia="Arial" w:hAnsi="Arial" w:cs="Arial"/>
        </w:rPr>
      </w:pPr>
    </w:p>
    <w:p w14:paraId="712E19B9" w14:textId="62295C79" w:rsidR="00482519" w:rsidRDefault="00482519" w:rsidP="00482519">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7CD8325" wp14:editId="598BD0C1">
            <wp:extent cx="4064400" cy="2880000"/>
            <wp:effectExtent l="0" t="0" r="0" b="3175"/>
            <wp:docPr id="1648147445"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147445" name="Grafik 164814744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203115FD" w14:textId="77777777" w:rsidR="00482519" w:rsidRPr="00482519" w:rsidRDefault="00482519" w:rsidP="00482519">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avec kit de décalage</w:t>
      </w:r>
    </w:p>
    <w:p w14:paraId="51370A2D" w14:textId="77777777" w:rsidR="00482519" w:rsidRDefault="00482519" w:rsidP="00482519">
      <w:pPr>
        <w:spacing w:after="120" w:line="360" w:lineRule="auto"/>
        <w:ind w:left="567" w:right="1695"/>
        <w:rPr>
          <w:rFonts w:ascii="Arial" w:eastAsia="Arial" w:hAnsi="Arial" w:cs="Arial"/>
        </w:rPr>
      </w:pPr>
    </w:p>
    <w:p w14:paraId="3A43681B" w14:textId="77777777" w:rsidR="00482519" w:rsidRDefault="00482519" w:rsidP="00482519">
      <w:pPr>
        <w:spacing w:after="120" w:line="360" w:lineRule="auto"/>
        <w:ind w:left="567" w:right="1695"/>
        <w:rPr>
          <w:rFonts w:ascii="Arial" w:eastAsia="Arial" w:hAnsi="Arial" w:cs="Arial"/>
        </w:rPr>
      </w:pPr>
    </w:p>
    <w:p w14:paraId="7D84745F" w14:textId="77777777" w:rsidR="007805AF" w:rsidRPr="00F4316E" w:rsidRDefault="007805AF" w:rsidP="00482519">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16" w:history="1">
        <w:r>
          <w:rPr>
            <w:rStyle w:val="Hyperlink"/>
            <w:rFonts w:ascii="Arial" w:hAnsi="Arial"/>
            <w:sz w:val="20"/>
          </w:rPr>
          <w:t>www.amazone.fr</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B512B2F">
            <wp:extent cx="241300" cy="241300"/>
            <wp:effectExtent l="0" t="0" r="6350" b="6350"/>
            <wp:docPr id="13" name="Grafik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443AF90D">
            <wp:extent cx="241300" cy="241300"/>
            <wp:effectExtent l="0" t="0" r="6350" b="6350"/>
            <wp:docPr id="12" name="Grafik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2C51BD2">
            <wp:extent cx="241300" cy="241300"/>
            <wp:effectExtent l="0" t="0" r="6350" b="6350"/>
            <wp:docPr id="11" name="Grafik 1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5D0FDC7B">
            <wp:extent cx="241300" cy="241300"/>
            <wp:effectExtent l="0" t="0" r="6350" b="6350"/>
            <wp:docPr id="10" name="Grafik 10">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09FBB195">
            <wp:extent cx="241300" cy="241300"/>
            <wp:effectExtent l="0" t="0" r="6350" b="6350"/>
            <wp:docPr id="7" name="Grafik 7">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9"/>
                    </pic:cNvPr>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32"/>
      <w:footerReference w:type="defaul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D33B6" w14:textId="77777777" w:rsidR="004F40AD" w:rsidRDefault="004F40AD">
      <w:r>
        <w:separator/>
      </w:r>
    </w:p>
  </w:endnote>
  <w:endnote w:type="continuationSeparator" w:id="0">
    <w:p w14:paraId="263DD588" w14:textId="77777777" w:rsidR="004F40AD" w:rsidRDefault="004F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A5557" w14:textId="77777777" w:rsidR="004F40AD" w:rsidRDefault="004F40AD">
      <w:r>
        <w:separator/>
      </w:r>
    </w:p>
  </w:footnote>
  <w:footnote w:type="continuationSeparator" w:id="0">
    <w:p w14:paraId="38E83B46" w14:textId="77777777" w:rsidR="004F40AD" w:rsidRDefault="004F4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4A06DD9"/>
    <w:multiLevelType w:val="hybridMultilevel"/>
    <w:tmpl w:val="FCF007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BB93AB0"/>
    <w:multiLevelType w:val="hybridMultilevel"/>
    <w:tmpl w:val="81CE3B3C"/>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7B717C59"/>
    <w:multiLevelType w:val="hybridMultilevel"/>
    <w:tmpl w:val="A97A4340"/>
    <w:lvl w:ilvl="0" w:tplc="64B87E98">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7DB67905"/>
    <w:multiLevelType w:val="hybridMultilevel"/>
    <w:tmpl w:val="CAC6C926"/>
    <w:lvl w:ilvl="0" w:tplc="64B87E98">
      <w:start w:val="10"/>
      <w:numFmt w:val="bullet"/>
      <w:lvlText w:val="•"/>
      <w:lvlJc w:val="left"/>
      <w:pPr>
        <w:ind w:left="2136" w:hanging="360"/>
      </w:pPr>
      <w:rPr>
        <w:rFonts w:ascii="Arial" w:eastAsia="Arial" w:hAnsi="Arial" w:cs="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num w:numId="1" w16cid:durableId="556358491">
    <w:abstractNumId w:val="6"/>
  </w:num>
  <w:num w:numId="2" w16cid:durableId="1510219160">
    <w:abstractNumId w:val="1"/>
  </w:num>
  <w:num w:numId="3" w16cid:durableId="613364659">
    <w:abstractNumId w:val="4"/>
  </w:num>
  <w:num w:numId="4" w16cid:durableId="1043675452">
    <w:abstractNumId w:val="5"/>
  </w:num>
  <w:num w:numId="5" w16cid:durableId="2011105495">
    <w:abstractNumId w:val="3"/>
  </w:num>
  <w:num w:numId="6" w16cid:durableId="494960578">
    <w:abstractNumId w:val="0"/>
  </w:num>
  <w:num w:numId="7" w16cid:durableId="2097939876">
    <w:abstractNumId w:val="11"/>
  </w:num>
  <w:num w:numId="8" w16cid:durableId="33434184">
    <w:abstractNumId w:val="7"/>
  </w:num>
  <w:num w:numId="9" w16cid:durableId="274018629">
    <w:abstractNumId w:val="9"/>
  </w:num>
  <w:num w:numId="10" w16cid:durableId="1622229493">
    <w:abstractNumId w:val="10"/>
  </w:num>
  <w:num w:numId="11" w16cid:durableId="1404913225">
    <w:abstractNumId w:val="2"/>
  </w:num>
  <w:num w:numId="12" w16cid:durableId="252512578">
    <w:abstractNumId w:val="12"/>
  </w:num>
  <w:num w:numId="13" w16cid:durableId="394284392">
    <w:abstractNumId w:val="8"/>
  </w:num>
  <w:num w:numId="14" w16cid:durableId="9682422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244D"/>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519"/>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0AD"/>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3719"/>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6FC"/>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5AF"/>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40F"/>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1A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183"/>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1FD1"/>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162AD"/>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hyperlink" Target="https://www.linkedin.com/company/amazone-france/" TargetMode="External"/><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facebook.com/amazone.france" TargetMode="External"/><Relationship Id="rId25" Type="http://schemas.openxmlformats.org/officeDocument/2006/relationships/image" Target="cid:YT_e9180d16-5a2b-4618-92e9-22a015f9cafb.jp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amazone.fr" TargetMode="External"/><Relationship Id="rId20" Type="http://schemas.openxmlformats.org/officeDocument/2006/relationships/hyperlink" Target="https://instagram.com/amazone_france" TargetMode="External"/><Relationship Id="rId29" Type="http://schemas.openxmlformats.org/officeDocument/2006/relationships/hyperlink" Target="https://www.xing.com/company/amazo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www.youtube.com/user/amazonede" TargetMode="External"/><Relationship Id="rId28" Type="http://schemas.openxmlformats.org/officeDocument/2006/relationships/image" Target="cid:LinkedIn_80de4e9c-c7a3-41e3-8e11-063f7eace13d.jpg" TargetMode="External"/><Relationship Id="rId10" Type="http://schemas.openxmlformats.org/officeDocument/2006/relationships/image" Target="media/image3.jpeg"/><Relationship Id="rId19" Type="http://schemas.openxmlformats.org/officeDocument/2006/relationships/image" Target="cid:FB_70d43fd1-a841-4de4-bbaa-3e1f495f95d3.jpg" TargetMode="External"/><Relationship Id="rId31" Type="http://schemas.openxmlformats.org/officeDocument/2006/relationships/image" Target="cid:Xing1_e3730686-2953-47a9-9c47-dbaa518a9207.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cid:IG_efb650a7-31e4-4674-98db-f2d2d5c58dce.jpg" TargetMode="External"/><Relationship Id="rId27" Type="http://schemas.openxmlformats.org/officeDocument/2006/relationships/image" Target="media/image12.jpeg"/><Relationship Id="rId30" Type="http://schemas.openxmlformats.org/officeDocument/2006/relationships/image" Target="media/image13.jpeg"/><Relationship Id="rId35" Type="http://schemas.openxmlformats.org/officeDocument/2006/relationships/theme" Target="theme/theme1.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1427</Words>
  <Characters>7892</Characters>
  <Application>Microsoft Office Word</Application>
  <DocSecurity>0</DocSecurity>
  <Lines>65</Lines>
  <Paragraphs>18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9301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2025-08-18T12:27:00Z</dcterms:created>
  <dcterms:modified xsi:type="dcterms:W3CDTF">2025-09-02T08:39:00Z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