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11A97C6" w14:textId="77777777" w:rsidR="00705A53" w:rsidRPr="00705A53" w:rsidRDefault="00705A53" w:rsidP="00705A53">
      <w:pPr>
        <w:spacing w:line="360" w:lineRule="auto"/>
        <w:ind w:left="567" w:right="1695"/>
        <w:rPr>
          <w:rFonts w:ascii="Arial" w:hAnsi="Arial" w:cs="Arial"/>
          <w:b/>
          <w:bCs/>
          <w:sz w:val="28"/>
          <w:szCs w:val="28"/>
        </w:rPr>
      </w:pPr>
      <w:r>
        <w:rPr>
          <w:rFonts w:ascii="Arial" w:hAnsi="Arial"/>
          <w:b/>
          <w:sz w:val="28"/>
        </w:rPr>
        <w:t>Nouveau semoir traîné Condor 02</w:t>
      </w:r>
    </w:p>
    <w:p w14:paraId="043C25BD" w14:textId="77777777" w:rsidR="00705A53" w:rsidRPr="00705A53" w:rsidRDefault="00705A53" w:rsidP="00705A53">
      <w:pPr>
        <w:spacing w:line="360" w:lineRule="auto"/>
        <w:ind w:left="567" w:right="1695"/>
        <w:rPr>
          <w:rFonts w:ascii="Arial" w:hAnsi="Arial" w:cs="Arial"/>
          <w:b/>
          <w:bCs/>
        </w:rPr>
      </w:pPr>
      <w:r>
        <w:rPr>
          <w:rFonts w:ascii="Arial" w:hAnsi="Arial"/>
          <w:b/>
        </w:rPr>
        <w:t>Fiable, même dans les conditions les plus difficiles</w:t>
      </w:r>
    </w:p>
    <w:p w14:paraId="77523A59" w14:textId="77777777" w:rsidR="00070765" w:rsidRDefault="00070765" w:rsidP="00330541">
      <w:pPr>
        <w:spacing w:line="360" w:lineRule="auto"/>
        <w:ind w:left="567" w:right="1695"/>
        <w:rPr>
          <w:rFonts w:ascii="Arial" w:hAnsi="Arial" w:cs="Arial"/>
        </w:rPr>
      </w:pPr>
    </w:p>
    <w:p w14:paraId="37BA85AC" w14:textId="77777777" w:rsidR="00AE1395" w:rsidRPr="00AE1395" w:rsidRDefault="00AE1395" w:rsidP="00AE1395">
      <w:pPr>
        <w:spacing w:after="120" w:line="360" w:lineRule="auto"/>
        <w:ind w:left="567" w:right="1695"/>
        <w:rPr>
          <w:rFonts w:ascii="Arial" w:eastAsia="Arial" w:hAnsi="Arial" w:cs="Arial"/>
        </w:rPr>
      </w:pPr>
      <w:r>
        <w:rPr>
          <w:rFonts w:ascii="Arial" w:hAnsi="Arial"/>
        </w:rPr>
        <w:t xml:space="preserve">Le Condor 02 définit de nouvelles références en termes de semis par dents et enrichit avec de nombreuses innovations la gamme du Condor 01 dont le succès ne dément pas. Grâce à sa compacité, la machine est un </w:t>
      </w:r>
      <w:proofErr w:type="spellStart"/>
      <w:r>
        <w:rPr>
          <w:rFonts w:ascii="Arial" w:hAnsi="Arial"/>
        </w:rPr>
        <w:t>partenair</w:t>
      </w:r>
      <w:proofErr w:type="spellEnd"/>
      <w:r>
        <w:rPr>
          <w:rFonts w:ascii="Arial" w:hAnsi="Arial"/>
        </w:rPr>
        <w:t xml:space="preserve"> flexible, précis et extrêmement performant au champ. Elle est parfaitement adaptée aux exigences des cultures modernes et durables pour un semis dans du mulch et/ou direct.</w:t>
      </w:r>
    </w:p>
    <w:p w14:paraId="09A6F1DA" w14:textId="77777777" w:rsidR="00AE1395" w:rsidRPr="00AE1395" w:rsidRDefault="00AE1395" w:rsidP="00AE1395">
      <w:pPr>
        <w:spacing w:after="120" w:line="360" w:lineRule="auto"/>
        <w:ind w:left="567" w:right="1695"/>
        <w:rPr>
          <w:rFonts w:ascii="Arial" w:eastAsia="Arial" w:hAnsi="Arial" w:cs="Arial"/>
        </w:rPr>
      </w:pPr>
    </w:p>
    <w:p w14:paraId="6498EDEB" w14:textId="77777777" w:rsidR="00AE1395" w:rsidRPr="00AE1395" w:rsidRDefault="00AE1395" w:rsidP="00AE1395">
      <w:pPr>
        <w:spacing w:after="120" w:line="360" w:lineRule="auto"/>
        <w:ind w:left="567" w:right="1695"/>
        <w:rPr>
          <w:rFonts w:ascii="Arial" w:eastAsia="Arial" w:hAnsi="Arial" w:cs="Arial"/>
        </w:rPr>
      </w:pPr>
      <w:r>
        <w:rPr>
          <w:rFonts w:ascii="Arial" w:hAnsi="Arial"/>
        </w:rPr>
        <w:t xml:space="preserve">Le Condor se démarque par ses largeurs de travail de 8 m et 9 m, associées à un châssis nettement plus compact. Il en résulte un mélange unique de maniabilité et de rendement. </w:t>
      </w:r>
    </w:p>
    <w:p w14:paraId="59EC3346" w14:textId="77777777" w:rsidR="00AE1395" w:rsidRPr="00AE1395" w:rsidRDefault="00AE1395" w:rsidP="00AE1395">
      <w:pPr>
        <w:spacing w:after="120" w:line="360" w:lineRule="auto"/>
        <w:ind w:left="567" w:right="1695"/>
        <w:rPr>
          <w:rFonts w:ascii="Arial" w:eastAsia="Arial" w:hAnsi="Arial" w:cs="Arial"/>
        </w:rPr>
      </w:pPr>
    </w:p>
    <w:p w14:paraId="5577FBA4" w14:textId="77777777" w:rsidR="00AE1395" w:rsidRPr="00AE1395" w:rsidRDefault="00AE1395" w:rsidP="00AE1395">
      <w:pPr>
        <w:spacing w:after="120" w:line="360" w:lineRule="auto"/>
        <w:ind w:left="567" w:right="1695"/>
        <w:rPr>
          <w:rFonts w:ascii="Arial" w:eastAsia="Arial" w:hAnsi="Arial" w:cs="Arial"/>
        </w:rPr>
      </w:pPr>
      <w:r>
        <w:rPr>
          <w:rFonts w:ascii="Arial" w:hAnsi="Arial"/>
        </w:rPr>
        <w:t>Par rapport à un inter-rangs de 25 cm, l’inter-rangs de 20 cm en option améliore la gestion par un recouvrement plus rapide du sol. C’est un avantage essentiel pour les semis tardifs de cultures d'hiver à forte densité ou les semis de cultures de printemps en présence d'une forte pression d’adventices.</w:t>
      </w:r>
    </w:p>
    <w:p w14:paraId="76FD9C0A" w14:textId="77777777" w:rsidR="00AE1395" w:rsidRPr="00AE1395" w:rsidRDefault="00AE1395" w:rsidP="00AE1395">
      <w:pPr>
        <w:spacing w:after="120" w:line="360" w:lineRule="auto"/>
        <w:ind w:left="567" w:right="1695"/>
        <w:rPr>
          <w:rFonts w:ascii="Arial" w:eastAsia="Arial" w:hAnsi="Arial" w:cs="Arial"/>
        </w:rPr>
      </w:pPr>
    </w:p>
    <w:p w14:paraId="7A582730" w14:textId="77777777" w:rsidR="00AE1395" w:rsidRPr="00AE1395" w:rsidRDefault="00AE1395" w:rsidP="00AE1395">
      <w:pPr>
        <w:spacing w:after="120" w:line="360" w:lineRule="auto"/>
        <w:ind w:left="567" w:right="1695"/>
        <w:rPr>
          <w:rFonts w:ascii="Arial" w:eastAsia="Arial" w:hAnsi="Arial" w:cs="Arial"/>
        </w:rPr>
      </w:pPr>
      <w:r>
        <w:rPr>
          <w:rFonts w:ascii="Arial" w:hAnsi="Arial"/>
          <w:b/>
        </w:rPr>
        <w:t xml:space="preserve">Système de dents de semis </w:t>
      </w:r>
      <w:proofErr w:type="spellStart"/>
      <w:r>
        <w:rPr>
          <w:rFonts w:ascii="Arial" w:hAnsi="Arial"/>
          <w:b/>
        </w:rPr>
        <w:t>ConTeC</w:t>
      </w:r>
      <w:proofErr w:type="spellEnd"/>
      <w:r>
        <w:rPr>
          <w:rFonts w:ascii="Arial" w:hAnsi="Arial"/>
          <w:b/>
        </w:rPr>
        <w:t xml:space="preserve"> pro – une base robuste avec de nouvelles fonctionnalités</w:t>
      </w:r>
    </w:p>
    <w:p w14:paraId="22E44A82" w14:textId="77777777" w:rsidR="00AE1395" w:rsidRPr="00AE1395" w:rsidRDefault="00AE1395" w:rsidP="00AE1395">
      <w:pPr>
        <w:spacing w:after="120" w:line="360" w:lineRule="auto"/>
        <w:ind w:left="567" w:right="1695"/>
        <w:rPr>
          <w:rFonts w:ascii="Arial" w:eastAsia="Arial" w:hAnsi="Arial" w:cs="Arial"/>
        </w:rPr>
      </w:pPr>
      <w:r>
        <w:rPr>
          <w:rFonts w:ascii="Arial" w:hAnsi="Arial"/>
        </w:rPr>
        <w:t xml:space="preserve">Pour le semis, AMAZONE continue à miser sur le système de dents de semis </w:t>
      </w:r>
      <w:proofErr w:type="spellStart"/>
      <w:r>
        <w:rPr>
          <w:rFonts w:ascii="Arial" w:hAnsi="Arial"/>
        </w:rPr>
        <w:t>ConTeC</w:t>
      </w:r>
      <w:proofErr w:type="spellEnd"/>
      <w:r>
        <w:rPr>
          <w:rFonts w:ascii="Arial" w:hAnsi="Arial"/>
        </w:rPr>
        <w:t xml:space="preserve"> pro sans le modifier. Le système de dents impressionne par sa construction simple, pratiquement exempte de maintenance et sa sécurité d’utilisation élevée. Le montage étroit, le dégagement important et l’élément flexible minimisent les risques de bourrage, même avec des volumes importants de résidus végétaux.</w:t>
      </w:r>
    </w:p>
    <w:p w14:paraId="2B0B30A0" w14:textId="77777777" w:rsidR="00AE1395" w:rsidRPr="00AE1395" w:rsidRDefault="00AE1395" w:rsidP="00AE1395">
      <w:pPr>
        <w:spacing w:after="120" w:line="360" w:lineRule="auto"/>
        <w:ind w:left="567" w:right="1695"/>
        <w:rPr>
          <w:rFonts w:ascii="Arial" w:eastAsia="Arial" w:hAnsi="Arial" w:cs="Arial"/>
        </w:rPr>
      </w:pPr>
    </w:p>
    <w:p w14:paraId="675523F8" w14:textId="77777777" w:rsidR="00AE1395" w:rsidRPr="00AE1395" w:rsidRDefault="00AE1395" w:rsidP="00AE1395">
      <w:pPr>
        <w:spacing w:after="120" w:line="360" w:lineRule="auto"/>
        <w:ind w:left="567" w:right="1695"/>
        <w:rPr>
          <w:rFonts w:ascii="Arial" w:eastAsia="Arial" w:hAnsi="Arial" w:cs="Arial"/>
        </w:rPr>
      </w:pPr>
      <w:r>
        <w:rPr>
          <w:rFonts w:ascii="Arial" w:hAnsi="Arial"/>
        </w:rPr>
        <w:t xml:space="preserve">La couche supérieure dure, sèche et les végétaux peuvent être mis sur le côté afin que la semence soit parfaitement déposée dans la couche humide du sol et </w:t>
      </w:r>
      <w:proofErr w:type="gramStart"/>
      <w:r>
        <w:rPr>
          <w:rFonts w:ascii="Arial" w:hAnsi="Arial"/>
        </w:rPr>
        <w:lastRenderedPageBreak/>
        <w:t>recouverte</w:t>
      </w:r>
      <w:proofErr w:type="gramEnd"/>
      <w:r>
        <w:rPr>
          <w:rFonts w:ascii="Arial" w:hAnsi="Arial"/>
        </w:rPr>
        <w:t xml:space="preserve"> de terre fine. Cet effet de dégagement spécial des dents </w:t>
      </w:r>
      <w:proofErr w:type="spellStart"/>
      <w:r>
        <w:rPr>
          <w:rFonts w:ascii="Arial" w:hAnsi="Arial"/>
        </w:rPr>
        <w:t>ConTeC</w:t>
      </w:r>
      <w:proofErr w:type="spellEnd"/>
      <w:r>
        <w:rPr>
          <w:rFonts w:ascii="Arial" w:hAnsi="Arial"/>
        </w:rPr>
        <w:t xml:space="preserve"> pro génère un profil ondulé du lit de semence qui favorise la disponibilité de l’eau pour les graines et protège les cultures de l’érosion. Pour les sols les plus lourds, la pression de terrage peut être augmentée jusqu’à 120 kg/dent. Le système de dents de semis </w:t>
      </w:r>
      <w:proofErr w:type="spellStart"/>
      <w:r>
        <w:rPr>
          <w:rFonts w:ascii="Arial" w:hAnsi="Arial"/>
        </w:rPr>
        <w:t>ConTeC</w:t>
      </w:r>
      <w:proofErr w:type="spellEnd"/>
      <w:r>
        <w:rPr>
          <w:rFonts w:ascii="Arial" w:hAnsi="Arial"/>
        </w:rPr>
        <w:t xml:space="preserve"> pro est connu dans le monde entier pour une implantation homogène des semences et donc des levées homogènes des cultures. Associé à la roue de fermeture en V en option, les lignes sont parfaitement refermées, même sur les sols collants.</w:t>
      </w:r>
    </w:p>
    <w:p w14:paraId="4851C3A0" w14:textId="77777777" w:rsidR="00AE1395" w:rsidRPr="00AE1395" w:rsidRDefault="00AE1395" w:rsidP="00AE1395">
      <w:pPr>
        <w:spacing w:after="120" w:line="360" w:lineRule="auto"/>
        <w:ind w:left="567" w:right="1695"/>
        <w:rPr>
          <w:rFonts w:ascii="Arial" w:eastAsia="Arial" w:hAnsi="Arial" w:cs="Arial"/>
        </w:rPr>
      </w:pPr>
    </w:p>
    <w:p w14:paraId="03CAA580" w14:textId="77777777" w:rsidR="00AE1395" w:rsidRPr="00AE1395" w:rsidRDefault="00AE1395" w:rsidP="00AE1395">
      <w:pPr>
        <w:spacing w:after="120" w:line="360" w:lineRule="auto"/>
        <w:ind w:left="567" w:right="1695"/>
        <w:rPr>
          <w:rFonts w:ascii="Arial" w:eastAsia="Arial" w:hAnsi="Arial" w:cs="Arial"/>
        </w:rPr>
      </w:pPr>
      <w:r>
        <w:rPr>
          <w:rFonts w:ascii="Arial" w:hAnsi="Arial"/>
        </w:rPr>
        <w:t>La régulation automatique de pression de terrage pour les terrains vallonnés est une nouveauté. Elle assure une pression de terrage homogène, quelles que soient les conditions de sol et de relief. Le suivi des reliefs du sol génère une profondeur homogène d’implantation de la semence et une bonne fermeture de la ligne dans des conditions hétérogènes.</w:t>
      </w:r>
    </w:p>
    <w:p w14:paraId="103BC0D9" w14:textId="77777777" w:rsidR="00AE1395" w:rsidRPr="00AE1395" w:rsidRDefault="00AE1395" w:rsidP="00AE1395">
      <w:pPr>
        <w:spacing w:after="120" w:line="360" w:lineRule="auto"/>
        <w:ind w:left="567" w:right="1695"/>
        <w:rPr>
          <w:rFonts w:ascii="Arial" w:eastAsia="Arial" w:hAnsi="Arial" w:cs="Arial"/>
        </w:rPr>
      </w:pPr>
    </w:p>
    <w:p w14:paraId="5F61F1CA" w14:textId="77777777" w:rsidR="00AE1395" w:rsidRPr="00AE1395" w:rsidRDefault="00AE1395" w:rsidP="00AE1395">
      <w:pPr>
        <w:spacing w:after="120" w:line="360" w:lineRule="auto"/>
        <w:ind w:left="567" w:right="1695"/>
        <w:rPr>
          <w:rFonts w:ascii="Arial" w:eastAsia="Arial" w:hAnsi="Arial" w:cs="Arial"/>
        </w:rPr>
      </w:pPr>
      <w:r>
        <w:rPr>
          <w:rFonts w:ascii="Arial" w:hAnsi="Arial"/>
          <w:b/>
        </w:rPr>
        <w:t xml:space="preserve">Solutions pour une agriculture moderne - tête de distribution équipée de </w:t>
      </w:r>
      <w:proofErr w:type="spellStart"/>
      <w:r>
        <w:rPr>
          <w:rFonts w:ascii="Arial" w:hAnsi="Arial"/>
          <w:b/>
        </w:rPr>
        <w:t>MultiSwitch</w:t>
      </w:r>
      <w:proofErr w:type="spellEnd"/>
    </w:p>
    <w:p w14:paraId="4B85AB9F" w14:textId="77777777" w:rsidR="00AE1395" w:rsidRPr="00AE1395" w:rsidRDefault="00AE1395" w:rsidP="00AE1395">
      <w:pPr>
        <w:spacing w:after="120" w:line="360" w:lineRule="auto"/>
        <w:ind w:left="567" w:right="1695"/>
        <w:rPr>
          <w:rFonts w:ascii="Arial" w:eastAsia="Arial" w:hAnsi="Arial" w:cs="Arial"/>
        </w:rPr>
      </w:pPr>
      <w:r>
        <w:rPr>
          <w:rFonts w:ascii="Arial" w:hAnsi="Arial"/>
        </w:rPr>
        <w:t xml:space="preserve">La coupure individuelle de rang </w:t>
      </w:r>
      <w:proofErr w:type="spellStart"/>
      <w:r>
        <w:rPr>
          <w:rFonts w:ascii="Arial" w:hAnsi="Arial"/>
        </w:rPr>
        <w:t>MultiSwitch</w:t>
      </w:r>
      <w:proofErr w:type="spellEnd"/>
      <w:r>
        <w:rPr>
          <w:rFonts w:ascii="Arial" w:hAnsi="Arial"/>
        </w:rPr>
        <w:t xml:space="preserve"> représente une avancée significative. Elle permet une implantation précise de la semence et de l’engrais jusque dans les moindres recoins du champ, avec des recroisements minimes. Ainsi, non seulement l’efficacité est renforcée, mais la durabilité et la rentabilité sont améliorées : par rapport à la coupure automatique unilatérale, les recroisements passent d’environ 5 % à moins de 1 % de la superficie. Pour une surface de semis annuelle de 1 000 ha et des frais de semence et d’engrais d’environ 150 €/ha, le potentiel d’économie est de l’ordre de 6 000 € – rien qu’en réduisant les recroisements. Un argument de poids en faveur d'un travail axé sur la précision et tourné vers l'avenir.</w:t>
      </w:r>
    </w:p>
    <w:p w14:paraId="6215D969" w14:textId="77777777" w:rsidR="00AE1395" w:rsidRPr="00AE1395" w:rsidRDefault="00AE1395" w:rsidP="00AE1395">
      <w:pPr>
        <w:spacing w:after="120" w:line="360" w:lineRule="auto"/>
        <w:ind w:left="567" w:right="1695"/>
        <w:rPr>
          <w:rFonts w:ascii="Arial" w:eastAsia="Arial" w:hAnsi="Arial" w:cs="Arial"/>
        </w:rPr>
      </w:pPr>
    </w:p>
    <w:p w14:paraId="7B428B80" w14:textId="77777777" w:rsidR="00AE1395" w:rsidRPr="00AE1395" w:rsidRDefault="00AE1395" w:rsidP="00AE1395">
      <w:pPr>
        <w:spacing w:after="120" w:line="360" w:lineRule="auto"/>
        <w:ind w:left="567" w:right="1695"/>
        <w:rPr>
          <w:rFonts w:ascii="Arial" w:eastAsia="Arial" w:hAnsi="Arial" w:cs="Arial"/>
        </w:rPr>
      </w:pPr>
      <w:r>
        <w:rPr>
          <w:rFonts w:ascii="Arial" w:hAnsi="Arial"/>
        </w:rPr>
        <w:t xml:space="preserve">La tête de distribution permet également une coupure flexible de certains rangs. Ainsi pour le semis du colza ou du soja, un rang sur deux est coupé par téléréglage en cabine, pour semer en double écart de rang et laisser davantage </w:t>
      </w:r>
      <w:r>
        <w:rPr>
          <w:rFonts w:ascii="Arial" w:hAnsi="Arial"/>
        </w:rPr>
        <w:lastRenderedPageBreak/>
        <w:t xml:space="preserve">d’espace aux cultures pour se ramifier latéralement. Les écarts individuels de rangs, tels que les rangs doubles, sont ajustés confortablement en cabine. </w:t>
      </w:r>
    </w:p>
    <w:p w14:paraId="42EE9F17" w14:textId="77777777" w:rsidR="00AE1395" w:rsidRPr="00AE1395" w:rsidRDefault="00AE1395" w:rsidP="00AE1395">
      <w:pPr>
        <w:spacing w:after="120" w:line="360" w:lineRule="auto"/>
        <w:ind w:left="567" w:right="1695"/>
        <w:rPr>
          <w:rFonts w:ascii="Arial" w:eastAsia="Arial" w:hAnsi="Arial" w:cs="Arial"/>
        </w:rPr>
      </w:pPr>
    </w:p>
    <w:p w14:paraId="575A1D48" w14:textId="77777777" w:rsidR="00AE1395" w:rsidRPr="00AE1395" w:rsidRDefault="00AE1395" w:rsidP="00AE1395">
      <w:pPr>
        <w:spacing w:after="120" w:line="360" w:lineRule="auto"/>
        <w:ind w:left="567" w:right="1695"/>
        <w:rPr>
          <w:rFonts w:ascii="Arial" w:eastAsia="Arial" w:hAnsi="Arial" w:cs="Arial"/>
        </w:rPr>
      </w:pPr>
      <w:r>
        <w:rPr>
          <w:rFonts w:ascii="Arial" w:hAnsi="Arial"/>
        </w:rPr>
        <w:t xml:space="preserve">Bien entendu, tous les systèmes de </w:t>
      </w:r>
      <w:proofErr w:type="spellStart"/>
      <w:r>
        <w:rPr>
          <w:rFonts w:ascii="Arial" w:hAnsi="Arial"/>
        </w:rPr>
        <w:t>jalonnage</w:t>
      </w:r>
      <w:proofErr w:type="spellEnd"/>
      <w:r>
        <w:rPr>
          <w:rFonts w:ascii="Arial" w:hAnsi="Arial"/>
        </w:rPr>
        <w:t xml:space="preserve">, largeurs de voies et écarts de voies sont aussi pilotés en cabine sur le Condor 02 par la coupure individuelle de rang </w:t>
      </w:r>
      <w:proofErr w:type="spellStart"/>
      <w:r>
        <w:rPr>
          <w:rFonts w:ascii="Arial" w:hAnsi="Arial"/>
        </w:rPr>
        <w:t>MultiSwitch</w:t>
      </w:r>
      <w:proofErr w:type="spellEnd"/>
      <w:r>
        <w:rPr>
          <w:rFonts w:ascii="Arial" w:hAnsi="Arial"/>
        </w:rPr>
        <w:t xml:space="preserve">. </w:t>
      </w:r>
    </w:p>
    <w:p w14:paraId="37222A86" w14:textId="77777777" w:rsidR="00AE1395" w:rsidRPr="00AE1395" w:rsidRDefault="00AE1395" w:rsidP="00AE1395">
      <w:pPr>
        <w:spacing w:after="120" w:line="360" w:lineRule="auto"/>
        <w:ind w:left="567" w:right="1695"/>
        <w:rPr>
          <w:rFonts w:ascii="Arial" w:eastAsia="Arial" w:hAnsi="Arial" w:cs="Arial"/>
        </w:rPr>
      </w:pPr>
    </w:p>
    <w:p w14:paraId="34C62894" w14:textId="77777777" w:rsidR="00AE1395" w:rsidRPr="00AE1395" w:rsidRDefault="00AE1395" w:rsidP="00AE1395">
      <w:pPr>
        <w:spacing w:after="120" w:line="360" w:lineRule="auto"/>
        <w:ind w:left="567" w:right="1695"/>
        <w:rPr>
          <w:rFonts w:ascii="Arial" w:eastAsia="Arial" w:hAnsi="Arial" w:cs="Arial"/>
          <w:b/>
          <w:bCs/>
        </w:rPr>
      </w:pPr>
      <w:r>
        <w:rPr>
          <w:rFonts w:ascii="Arial" w:hAnsi="Arial"/>
          <w:b/>
        </w:rPr>
        <w:t>Trémie multi-compartiments pour répondre à différentes méthodes de travail</w:t>
      </w:r>
    </w:p>
    <w:p w14:paraId="310F7DB3" w14:textId="77777777" w:rsidR="00AE1395" w:rsidRPr="00AE1395" w:rsidRDefault="00AE1395" w:rsidP="00AE1395">
      <w:pPr>
        <w:spacing w:after="120" w:line="360" w:lineRule="auto"/>
        <w:ind w:left="567" w:right="1695"/>
        <w:rPr>
          <w:rFonts w:ascii="Arial" w:eastAsia="Arial" w:hAnsi="Arial" w:cs="Arial"/>
        </w:rPr>
      </w:pPr>
      <w:r>
        <w:rPr>
          <w:rFonts w:ascii="Arial" w:hAnsi="Arial"/>
        </w:rPr>
        <w:t>Le Condor 02 est équipé au mieux pour les différents assolements et l’utilisation d’engrais tardifs. En standard, le Condor 02 intègre une trémie à trois compartiments d’une capacité globale de 4 100 litres (50 % | 30 % | 20 %) qui permet une application ciblée de différentes semences ou de la semence et de l’engrais. Même avec des débits élevés, le système de pression garantit une alimentation homogène et une répartition longitudinale et transversale précise sur tous les rangs.</w:t>
      </w:r>
    </w:p>
    <w:p w14:paraId="3A55FDE4" w14:textId="77777777" w:rsidR="00AE1395" w:rsidRPr="00AE1395" w:rsidRDefault="00AE1395" w:rsidP="00AE1395">
      <w:pPr>
        <w:spacing w:after="120" w:line="360" w:lineRule="auto"/>
        <w:ind w:left="567" w:right="1695"/>
        <w:rPr>
          <w:rFonts w:ascii="Arial" w:eastAsia="Arial" w:hAnsi="Arial" w:cs="Arial"/>
        </w:rPr>
      </w:pPr>
    </w:p>
    <w:p w14:paraId="0FF9E0B5" w14:textId="77777777" w:rsidR="00AE1395" w:rsidRPr="00AE1395" w:rsidRDefault="00AE1395" w:rsidP="00AE1395">
      <w:pPr>
        <w:spacing w:after="120" w:line="360" w:lineRule="auto"/>
        <w:ind w:left="567" w:right="1695"/>
        <w:rPr>
          <w:rFonts w:ascii="Arial" w:eastAsia="Arial" w:hAnsi="Arial" w:cs="Arial"/>
        </w:rPr>
      </w:pPr>
      <w:r>
        <w:rPr>
          <w:rFonts w:ascii="Arial" w:hAnsi="Arial"/>
          <w:b/>
        </w:rPr>
        <w:t>Semer sans pression – technologie de pneus VF pour préserver au maximum le sol</w:t>
      </w:r>
    </w:p>
    <w:p w14:paraId="002E412C" w14:textId="77777777" w:rsidR="00AE1395" w:rsidRPr="00AE1395" w:rsidRDefault="00AE1395" w:rsidP="00AE1395">
      <w:pPr>
        <w:spacing w:after="120" w:line="360" w:lineRule="auto"/>
        <w:ind w:left="567" w:right="1695"/>
        <w:rPr>
          <w:rFonts w:ascii="Arial" w:eastAsia="Arial" w:hAnsi="Arial" w:cs="Arial"/>
        </w:rPr>
      </w:pPr>
      <w:r>
        <w:rPr>
          <w:rFonts w:ascii="Arial" w:hAnsi="Arial"/>
        </w:rPr>
        <w:t>Pour un travail respectueux des sols, les Condor 02 sont équipés en option de pneus VF basse pression de 750 mm de large. Des efface-traces en amont sont également en mesure d’égaliser l’influence des traces du tracteur sur le lit de semence.</w:t>
      </w:r>
    </w:p>
    <w:p w14:paraId="0986D80E" w14:textId="77777777" w:rsidR="00AE1395" w:rsidRPr="00AE1395" w:rsidRDefault="00AE1395" w:rsidP="00AE1395">
      <w:pPr>
        <w:spacing w:after="120" w:line="360" w:lineRule="auto"/>
        <w:ind w:left="567" w:right="1695"/>
        <w:rPr>
          <w:rFonts w:ascii="Arial" w:eastAsia="Arial" w:hAnsi="Arial" w:cs="Arial"/>
        </w:rPr>
      </w:pPr>
    </w:p>
    <w:p w14:paraId="151B44DE" w14:textId="77777777" w:rsidR="00AE1395" w:rsidRPr="00AE1395" w:rsidRDefault="00AE1395" w:rsidP="00AE1395">
      <w:pPr>
        <w:spacing w:after="120" w:line="360" w:lineRule="auto"/>
        <w:ind w:left="567" w:right="1695"/>
        <w:rPr>
          <w:rFonts w:ascii="Arial" w:eastAsia="Arial" w:hAnsi="Arial" w:cs="Arial"/>
        </w:rPr>
      </w:pPr>
      <w:r>
        <w:rPr>
          <w:rFonts w:ascii="Arial" w:hAnsi="Arial"/>
          <w:b/>
        </w:rPr>
        <w:t>Logiciels AMAZONE – soutenir plutôt que surmener</w:t>
      </w:r>
    </w:p>
    <w:p w14:paraId="522DA7D8" w14:textId="77777777" w:rsidR="00AE1395" w:rsidRPr="00AE1395" w:rsidRDefault="00AE1395" w:rsidP="00AE1395">
      <w:pPr>
        <w:spacing w:after="120" w:line="360" w:lineRule="auto"/>
        <w:ind w:left="567" w:right="1695"/>
        <w:rPr>
          <w:rFonts w:ascii="Arial" w:eastAsia="Arial" w:hAnsi="Arial" w:cs="Arial"/>
        </w:rPr>
      </w:pPr>
      <w:r>
        <w:rPr>
          <w:rFonts w:ascii="Arial" w:hAnsi="Arial"/>
        </w:rPr>
        <w:t xml:space="preserve">Le Condor 02 est piloté par le terminal ISOBUS </w:t>
      </w:r>
      <w:proofErr w:type="spellStart"/>
      <w:r>
        <w:rPr>
          <w:rFonts w:ascii="Arial" w:hAnsi="Arial"/>
        </w:rPr>
        <w:t>AmaTron</w:t>
      </w:r>
      <w:proofErr w:type="spellEnd"/>
      <w:r>
        <w:rPr>
          <w:rFonts w:ascii="Arial" w:hAnsi="Arial"/>
        </w:rPr>
        <w:t xml:space="preserve"> 4. Le logiciel convivial AMAZONE épaule le conducteur par son interface claire et ses fonctions utiles, telles que la coupure intuitive de </w:t>
      </w:r>
      <w:proofErr w:type="spellStart"/>
      <w:r>
        <w:rPr>
          <w:rFonts w:ascii="Arial" w:hAnsi="Arial"/>
        </w:rPr>
        <w:t>jalonnage</w:t>
      </w:r>
      <w:proofErr w:type="spellEnd"/>
      <w:r>
        <w:rPr>
          <w:rFonts w:ascii="Arial" w:hAnsi="Arial"/>
        </w:rPr>
        <w:t xml:space="preserve">, la gestion de trémie, le téléréglage de la tête de distribution et la pression de terrage. Le </w:t>
      </w:r>
      <w:proofErr w:type="spellStart"/>
      <w:r>
        <w:rPr>
          <w:rFonts w:ascii="Arial" w:hAnsi="Arial"/>
        </w:rPr>
        <w:t>TwinTerminal</w:t>
      </w:r>
      <w:proofErr w:type="spellEnd"/>
      <w:r>
        <w:rPr>
          <w:rFonts w:ascii="Arial" w:hAnsi="Arial"/>
        </w:rPr>
        <w:t xml:space="preserve"> en option </w:t>
      </w:r>
      <w:r>
        <w:rPr>
          <w:rFonts w:ascii="Arial" w:hAnsi="Arial"/>
        </w:rPr>
        <w:lastRenderedPageBreak/>
        <w:t xml:space="preserve">permet l’étalonnage direct sur la machine, même avec des gants, et économise ainsi les allers et retours multiples dans la cabine du tracteur. Les applications </w:t>
      </w:r>
      <w:proofErr w:type="spellStart"/>
      <w:r>
        <w:rPr>
          <w:rFonts w:ascii="Arial" w:hAnsi="Arial"/>
        </w:rPr>
        <w:t>Precision</w:t>
      </w:r>
      <w:proofErr w:type="spellEnd"/>
      <w:r>
        <w:rPr>
          <w:rFonts w:ascii="Arial" w:hAnsi="Arial"/>
        </w:rPr>
        <w:t xml:space="preserve"> </w:t>
      </w:r>
      <w:proofErr w:type="spellStart"/>
      <w:r>
        <w:rPr>
          <w:rFonts w:ascii="Arial" w:hAnsi="Arial"/>
        </w:rPr>
        <w:t>Farming</w:t>
      </w:r>
      <w:proofErr w:type="spellEnd"/>
      <w:r>
        <w:rPr>
          <w:rFonts w:ascii="Arial" w:hAnsi="Arial"/>
        </w:rPr>
        <w:t xml:space="preserve">, telles que Section Control, les cartes de modulation et le </w:t>
      </w:r>
      <w:proofErr w:type="spellStart"/>
      <w:r>
        <w:rPr>
          <w:rFonts w:ascii="Arial" w:hAnsi="Arial"/>
        </w:rPr>
        <w:t>jalonnage</w:t>
      </w:r>
      <w:proofErr w:type="spellEnd"/>
      <w:r>
        <w:rPr>
          <w:rFonts w:ascii="Arial" w:hAnsi="Arial"/>
        </w:rPr>
        <w:t xml:space="preserve"> ISOBUS, sont complètement intégrées.</w:t>
      </w:r>
    </w:p>
    <w:p w14:paraId="3C8CE4B2" w14:textId="77777777" w:rsidR="00AE1395" w:rsidRPr="00AE1395" w:rsidRDefault="00AE1395" w:rsidP="00AE1395">
      <w:pPr>
        <w:spacing w:after="120" w:line="360" w:lineRule="auto"/>
        <w:ind w:left="567" w:right="1695"/>
        <w:rPr>
          <w:rFonts w:ascii="Arial" w:eastAsia="Arial" w:hAnsi="Arial" w:cs="Arial"/>
        </w:rPr>
      </w:pPr>
    </w:p>
    <w:p w14:paraId="042E4D05" w14:textId="77777777" w:rsidR="00AE1395" w:rsidRPr="00AE1395" w:rsidRDefault="00AE1395" w:rsidP="00AE1395">
      <w:pPr>
        <w:spacing w:after="120" w:line="360" w:lineRule="auto"/>
        <w:ind w:left="567" w:right="1695"/>
        <w:rPr>
          <w:rFonts w:ascii="Arial" w:eastAsia="Arial" w:hAnsi="Arial" w:cs="Arial"/>
        </w:rPr>
      </w:pPr>
      <w:r>
        <w:rPr>
          <w:rFonts w:ascii="Arial" w:hAnsi="Arial"/>
          <w:b/>
        </w:rPr>
        <w:t>Condor 02 – expérience et innovation en parfaite harmonie</w:t>
      </w:r>
    </w:p>
    <w:p w14:paraId="46727DE0" w14:textId="7F4D6FCF" w:rsidR="00A83D7A" w:rsidRDefault="00AE1395" w:rsidP="00AE1395">
      <w:pPr>
        <w:spacing w:after="120" w:line="360" w:lineRule="auto"/>
        <w:ind w:left="567" w:right="1695"/>
        <w:rPr>
          <w:rFonts w:ascii="Arial" w:eastAsia="Arial" w:hAnsi="Arial" w:cs="Arial"/>
        </w:rPr>
      </w:pPr>
      <w:r>
        <w:rPr>
          <w:rFonts w:ascii="Arial" w:hAnsi="Arial"/>
        </w:rPr>
        <w:t>De fait, les Condor 02 ne sont pas seulement une évolution progressive du Condor 01, mais de véritables vecteurs de technologie. Ils allient flexibilité, précision et rendement. Ils sont idéals pour les exploitations qui souhaitent augmenter leur efficacité et simultanément établir des cultures vigoureuses et homogènes. Les Condor 02 se basent sur la technologie robuste de la génération des 01 qui a fait ses preuves et s’est imposé dans le monde entier dans des conditions de chantier extrêmes. Les nouvelles largeurs de travail de 8 m et 9 m et les nombreuses innovations font du Condor 02 un semoir destiné à une agriculture efficace et tournée vers l'avenir.</w:t>
      </w:r>
    </w:p>
    <w:p w14:paraId="21631CC1" w14:textId="77777777" w:rsidR="006676C1" w:rsidRDefault="006676C1" w:rsidP="00ED4605">
      <w:pPr>
        <w:spacing w:after="120" w:line="360" w:lineRule="auto"/>
        <w:ind w:left="567" w:right="1695"/>
        <w:rPr>
          <w:rFonts w:ascii="Arial" w:eastAsia="Arial" w:hAnsi="Arial" w:cs="Arial"/>
        </w:rPr>
      </w:pPr>
    </w:p>
    <w:p w14:paraId="195FF01F" w14:textId="77777777" w:rsidR="00AE1395" w:rsidRDefault="00AE1395" w:rsidP="00ED4605">
      <w:pPr>
        <w:spacing w:after="120" w:line="360" w:lineRule="auto"/>
        <w:ind w:left="567" w:right="1695"/>
        <w:rPr>
          <w:rFonts w:ascii="Arial" w:eastAsia="Arial" w:hAnsi="Arial" w:cs="Arial"/>
        </w:rPr>
      </w:pP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48DE0DE6" w14:textId="39BEDC7E" w:rsidR="00AE1395" w:rsidRPr="00AE1395" w:rsidRDefault="00AE1395" w:rsidP="00AE1395">
      <w:pPr>
        <w:pStyle w:val="Listenabsatz"/>
        <w:numPr>
          <w:ilvl w:val="0"/>
          <w:numId w:val="33"/>
        </w:numPr>
        <w:spacing w:after="120" w:line="360" w:lineRule="auto"/>
        <w:ind w:right="1695"/>
        <w:rPr>
          <w:rFonts w:ascii="Arial" w:eastAsia="Arial" w:hAnsi="Arial" w:cs="Arial"/>
        </w:rPr>
      </w:pPr>
      <w:r>
        <w:rPr>
          <w:rFonts w:ascii="Arial" w:hAnsi="Arial"/>
        </w:rPr>
        <w:t>Châssis compact et largeur de travail performante</w:t>
      </w:r>
    </w:p>
    <w:p w14:paraId="09C81689" w14:textId="423D98D8" w:rsidR="00AE1395" w:rsidRPr="00AE1395" w:rsidRDefault="00AE1395" w:rsidP="00AE1395">
      <w:pPr>
        <w:pStyle w:val="Listenabsatz"/>
        <w:numPr>
          <w:ilvl w:val="0"/>
          <w:numId w:val="33"/>
        </w:numPr>
        <w:spacing w:after="120" w:line="360" w:lineRule="auto"/>
        <w:ind w:right="1695"/>
        <w:rPr>
          <w:rFonts w:ascii="Arial" w:eastAsia="Arial" w:hAnsi="Arial" w:cs="Arial"/>
        </w:rPr>
      </w:pPr>
      <w:r>
        <w:rPr>
          <w:rFonts w:ascii="Arial" w:hAnsi="Arial"/>
        </w:rPr>
        <w:t xml:space="preserve">Coupure individuelle de rang </w:t>
      </w:r>
      <w:proofErr w:type="spellStart"/>
      <w:r>
        <w:rPr>
          <w:rFonts w:ascii="Arial" w:hAnsi="Arial"/>
        </w:rPr>
        <w:t>MultiSwitch</w:t>
      </w:r>
      <w:proofErr w:type="spellEnd"/>
      <w:r>
        <w:rPr>
          <w:rFonts w:ascii="Arial" w:hAnsi="Arial"/>
        </w:rPr>
        <w:t xml:space="preserve"> pour économiser les moyens d’exploitation par une réduction des recroisements</w:t>
      </w:r>
    </w:p>
    <w:p w14:paraId="5C154169" w14:textId="2857F471" w:rsidR="00AE1395" w:rsidRPr="00AE1395" w:rsidRDefault="00AE1395" w:rsidP="00AE1395">
      <w:pPr>
        <w:pStyle w:val="Listenabsatz"/>
        <w:numPr>
          <w:ilvl w:val="0"/>
          <w:numId w:val="33"/>
        </w:numPr>
        <w:spacing w:after="120" w:line="360" w:lineRule="auto"/>
        <w:ind w:right="1695"/>
        <w:rPr>
          <w:rFonts w:ascii="Arial" w:eastAsia="Arial" w:hAnsi="Arial" w:cs="Arial"/>
        </w:rPr>
      </w:pPr>
      <w:r>
        <w:rPr>
          <w:rFonts w:ascii="Arial" w:hAnsi="Arial"/>
        </w:rPr>
        <w:t xml:space="preserve">Création de tous les </w:t>
      </w:r>
      <w:proofErr w:type="spellStart"/>
      <w:r>
        <w:rPr>
          <w:rFonts w:ascii="Arial" w:hAnsi="Arial"/>
        </w:rPr>
        <w:t>jalonnages</w:t>
      </w:r>
      <w:proofErr w:type="spellEnd"/>
      <w:r>
        <w:rPr>
          <w:rFonts w:ascii="Arial" w:hAnsi="Arial"/>
        </w:rPr>
        <w:t xml:space="preserve"> possibles</w:t>
      </w:r>
    </w:p>
    <w:p w14:paraId="016C0CDA" w14:textId="724746FC" w:rsidR="000B28FB" w:rsidRDefault="00AE1395" w:rsidP="00AE1395">
      <w:pPr>
        <w:pStyle w:val="Listenabsatz"/>
        <w:numPr>
          <w:ilvl w:val="0"/>
          <w:numId w:val="33"/>
        </w:numPr>
        <w:spacing w:after="120" w:line="360" w:lineRule="auto"/>
        <w:ind w:right="1695"/>
        <w:rPr>
          <w:rFonts w:ascii="Arial" w:eastAsia="Arial" w:hAnsi="Arial" w:cs="Arial"/>
        </w:rPr>
      </w:pPr>
      <w:r>
        <w:rPr>
          <w:rFonts w:ascii="Arial" w:hAnsi="Arial"/>
        </w:rPr>
        <w:t>Écart de rang de 20 cm en option pour les semis tardifs ou les semis à débits élevés</w:t>
      </w:r>
    </w:p>
    <w:p w14:paraId="492D47D7" w14:textId="77777777" w:rsidR="00080A0D" w:rsidRDefault="00080A0D" w:rsidP="00080A0D">
      <w:pPr>
        <w:spacing w:after="120" w:line="360" w:lineRule="auto"/>
        <w:ind w:right="1695"/>
        <w:rPr>
          <w:rFonts w:ascii="Arial" w:eastAsia="Arial" w:hAnsi="Arial" w:cs="Arial"/>
        </w:rPr>
      </w:pPr>
    </w:p>
    <w:p w14:paraId="652B3AA6" w14:textId="77777777" w:rsidR="00080A0D" w:rsidRDefault="00080A0D" w:rsidP="00080A0D">
      <w:pPr>
        <w:spacing w:after="120" w:line="360" w:lineRule="auto"/>
        <w:ind w:right="1695"/>
        <w:rPr>
          <w:rFonts w:ascii="Arial" w:eastAsia="Arial" w:hAnsi="Arial" w:cs="Arial"/>
        </w:rPr>
      </w:pPr>
    </w:p>
    <w:p w14:paraId="30959412" w14:textId="77777777" w:rsidR="00080A0D" w:rsidRDefault="00080A0D" w:rsidP="00080A0D">
      <w:pPr>
        <w:spacing w:after="120" w:line="360" w:lineRule="auto"/>
        <w:ind w:right="1695"/>
        <w:rPr>
          <w:rFonts w:ascii="Arial" w:eastAsia="Arial" w:hAnsi="Arial" w:cs="Arial"/>
        </w:rPr>
      </w:pPr>
    </w:p>
    <w:p w14:paraId="3D16583B" w14:textId="5304392D" w:rsidR="00080A0D" w:rsidRDefault="00080A0D" w:rsidP="00080A0D">
      <w:pPr>
        <w:spacing w:after="120" w:line="360" w:lineRule="auto"/>
        <w:ind w:right="1695" w:firstLine="567"/>
        <w:rPr>
          <w:rFonts w:ascii="Arial" w:eastAsia="Arial" w:hAnsi="Arial" w:cs="Arial"/>
        </w:rPr>
      </w:pPr>
      <w:r>
        <w:rPr>
          <w:rFonts w:ascii="Arial" w:hAnsi="Arial"/>
          <w:noProof/>
        </w:rPr>
        <w:lastRenderedPageBreak/>
        <w:drawing>
          <wp:inline distT="0" distB="0" distL="0" distR="0" wp14:anchorId="64126443" wp14:editId="57851044">
            <wp:extent cx="3477600" cy="2880000"/>
            <wp:effectExtent l="0" t="0" r="2540" b="3175"/>
            <wp:docPr id="1811940946"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940946" name="Grafik 1811940946"/>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122186BE" w14:textId="6D6DFF2A" w:rsidR="00080A0D" w:rsidRDefault="00080A0D" w:rsidP="00080A0D">
      <w:pPr>
        <w:spacing w:after="120" w:line="360" w:lineRule="auto"/>
        <w:ind w:left="567" w:right="1695"/>
        <w:rPr>
          <w:rFonts w:ascii="Arial" w:eastAsia="Arial" w:hAnsi="Arial" w:cs="Arial"/>
        </w:rPr>
      </w:pPr>
      <w:r>
        <w:rPr>
          <w:rFonts w:ascii="Arial" w:hAnsi="Arial"/>
        </w:rPr>
        <w:t xml:space="preserve">Grâce à son châssis compact, le puissant Condor 9002-2TC reste simple et maniable </w:t>
      </w:r>
    </w:p>
    <w:p w14:paraId="2B624A66" w14:textId="77777777" w:rsidR="00080A0D" w:rsidRDefault="00080A0D" w:rsidP="00080A0D">
      <w:pPr>
        <w:spacing w:after="120" w:line="360" w:lineRule="auto"/>
        <w:ind w:left="567" w:right="1695"/>
        <w:rPr>
          <w:rFonts w:ascii="Arial" w:eastAsia="Arial" w:hAnsi="Arial" w:cs="Arial"/>
        </w:rPr>
      </w:pPr>
    </w:p>
    <w:p w14:paraId="25AD76D3" w14:textId="77777777" w:rsidR="00080A0D" w:rsidRDefault="00080A0D" w:rsidP="00080A0D">
      <w:pPr>
        <w:spacing w:after="120" w:line="360" w:lineRule="auto"/>
        <w:ind w:left="567" w:right="1695"/>
        <w:rPr>
          <w:rFonts w:ascii="Arial" w:eastAsia="Arial" w:hAnsi="Arial" w:cs="Arial"/>
        </w:rPr>
      </w:pPr>
    </w:p>
    <w:p w14:paraId="1A11BC6A" w14:textId="48F6872D" w:rsidR="00080A0D" w:rsidRDefault="00080A0D" w:rsidP="00080A0D">
      <w:pPr>
        <w:spacing w:after="120" w:line="360" w:lineRule="auto"/>
        <w:ind w:left="567" w:right="1695"/>
        <w:rPr>
          <w:rFonts w:ascii="Arial" w:eastAsia="Arial" w:hAnsi="Arial" w:cs="Arial"/>
        </w:rPr>
      </w:pPr>
      <w:r>
        <w:rPr>
          <w:rFonts w:ascii="Arial" w:hAnsi="Arial"/>
          <w:noProof/>
        </w:rPr>
        <w:drawing>
          <wp:inline distT="0" distB="0" distL="0" distR="0" wp14:anchorId="34ACAC7B" wp14:editId="6BC74A94">
            <wp:extent cx="1440000" cy="1440000"/>
            <wp:effectExtent l="0" t="0" r="0" b="0"/>
            <wp:docPr id="1835633683"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5633683" name="Grafik 1835633683"/>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6BD04D90" w14:textId="77777777" w:rsidR="00080A0D" w:rsidRPr="00080A0D" w:rsidRDefault="00080A0D" w:rsidP="00080A0D">
      <w:pPr>
        <w:spacing w:after="120" w:line="360" w:lineRule="auto"/>
        <w:ind w:left="567" w:right="1695"/>
        <w:rPr>
          <w:rFonts w:ascii="Arial" w:eastAsia="Arial" w:hAnsi="Arial" w:cs="Arial"/>
          <w:b/>
          <w:bCs/>
        </w:rPr>
      </w:pPr>
      <w:r>
        <w:rPr>
          <w:rFonts w:ascii="Arial" w:hAnsi="Arial"/>
        </w:rPr>
        <w:t xml:space="preserve">Vidéo : </w:t>
      </w:r>
      <w:r>
        <w:rPr>
          <w:rFonts w:ascii="Arial" w:hAnsi="Arial"/>
        </w:rPr>
        <w:br/>
      </w:r>
      <w:r>
        <w:rPr>
          <w:rFonts w:ascii="Arial" w:hAnsi="Arial"/>
          <w:b/>
        </w:rPr>
        <w:t>www.amazone.net/yt-Condor9002-2TC</w:t>
      </w:r>
    </w:p>
    <w:p w14:paraId="40C36FD6" w14:textId="77777777" w:rsidR="00080A0D" w:rsidRDefault="00080A0D" w:rsidP="00080A0D">
      <w:pPr>
        <w:spacing w:after="120" w:line="360" w:lineRule="auto"/>
        <w:ind w:left="567" w:right="1695"/>
        <w:rPr>
          <w:rFonts w:ascii="Arial" w:eastAsia="Arial" w:hAnsi="Arial" w:cs="Arial"/>
        </w:rPr>
      </w:pPr>
    </w:p>
    <w:p w14:paraId="78A07298" w14:textId="77777777" w:rsidR="00080A0D" w:rsidRDefault="00080A0D" w:rsidP="00080A0D">
      <w:pPr>
        <w:spacing w:after="120" w:line="360" w:lineRule="auto"/>
        <w:ind w:left="567" w:right="1695"/>
        <w:rPr>
          <w:rFonts w:ascii="Arial" w:eastAsia="Arial" w:hAnsi="Arial" w:cs="Arial"/>
        </w:rPr>
      </w:pPr>
    </w:p>
    <w:p w14:paraId="7B9972B5" w14:textId="352DB2D6" w:rsidR="00080A0D" w:rsidRPr="00080A0D" w:rsidRDefault="00080A0D" w:rsidP="00080A0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35327942" wp14:editId="6C434552">
            <wp:extent cx="3362400" cy="2880000"/>
            <wp:effectExtent l="0" t="0" r="3175" b="3175"/>
            <wp:docPr id="398971873"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971873" name="Grafik 398971873"/>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362400" cy="2880000"/>
                    </a:xfrm>
                    <a:prstGeom prst="rect">
                      <a:avLst/>
                    </a:prstGeom>
                  </pic:spPr>
                </pic:pic>
              </a:graphicData>
            </a:graphic>
          </wp:inline>
        </w:drawing>
      </w:r>
    </w:p>
    <w:p w14:paraId="262670D0" w14:textId="77777777" w:rsidR="00080A0D" w:rsidRDefault="00080A0D" w:rsidP="00080A0D">
      <w:pPr>
        <w:spacing w:after="120" w:line="360" w:lineRule="auto"/>
        <w:ind w:right="1695" w:firstLine="567"/>
        <w:rPr>
          <w:rFonts w:ascii="Arial" w:eastAsia="Arial" w:hAnsi="Arial" w:cs="Arial"/>
        </w:rPr>
      </w:pPr>
      <w:r>
        <w:rPr>
          <w:rFonts w:ascii="Arial" w:hAnsi="Arial"/>
        </w:rPr>
        <w:t xml:space="preserve">Système de dents de semis </w:t>
      </w:r>
      <w:proofErr w:type="spellStart"/>
      <w:r>
        <w:rPr>
          <w:rFonts w:ascii="Arial" w:hAnsi="Arial"/>
        </w:rPr>
        <w:t>ConTeC</w:t>
      </w:r>
      <w:proofErr w:type="spellEnd"/>
      <w:r>
        <w:rPr>
          <w:rFonts w:ascii="Arial" w:hAnsi="Arial"/>
        </w:rPr>
        <w:t xml:space="preserve"> pro avec roue de fermeture en V</w:t>
      </w:r>
    </w:p>
    <w:p w14:paraId="7DE1FD10" w14:textId="77777777" w:rsidR="00080A0D" w:rsidRDefault="00080A0D" w:rsidP="00080A0D">
      <w:pPr>
        <w:spacing w:after="120" w:line="360" w:lineRule="auto"/>
        <w:ind w:right="1695" w:firstLine="567"/>
        <w:rPr>
          <w:rFonts w:ascii="Arial" w:eastAsia="Arial" w:hAnsi="Arial" w:cs="Arial"/>
        </w:rPr>
      </w:pPr>
    </w:p>
    <w:p w14:paraId="2A7AD8C5" w14:textId="38E5F61B" w:rsidR="00080A0D" w:rsidRDefault="00080A0D" w:rsidP="00080A0D">
      <w:pPr>
        <w:spacing w:after="120" w:line="360" w:lineRule="auto"/>
        <w:ind w:right="1695" w:firstLine="567"/>
        <w:rPr>
          <w:rFonts w:ascii="Arial" w:eastAsia="Arial" w:hAnsi="Arial" w:cs="Arial"/>
        </w:rPr>
      </w:pPr>
      <w:r>
        <w:rPr>
          <w:rFonts w:ascii="Arial" w:hAnsi="Arial"/>
          <w:noProof/>
        </w:rPr>
        <w:drawing>
          <wp:inline distT="0" distB="0" distL="0" distR="0" wp14:anchorId="691F484A" wp14:editId="43D562FC">
            <wp:extent cx="4053600" cy="2880000"/>
            <wp:effectExtent l="0" t="0" r="0" b="3175"/>
            <wp:docPr id="1538978664"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978664" name="Grafik 1538978664"/>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300CA53F" w14:textId="77777777" w:rsidR="00080A0D" w:rsidRPr="00080A0D" w:rsidRDefault="00080A0D" w:rsidP="00080A0D">
      <w:pPr>
        <w:spacing w:after="120" w:line="360" w:lineRule="auto"/>
        <w:ind w:right="1695" w:firstLine="567"/>
        <w:rPr>
          <w:rFonts w:ascii="Arial" w:eastAsia="Arial" w:hAnsi="Arial" w:cs="Arial"/>
        </w:rPr>
      </w:pPr>
      <w:r>
        <w:rPr>
          <w:rFonts w:ascii="Arial" w:hAnsi="Arial"/>
        </w:rPr>
        <w:t>Passage dans un fond</w:t>
      </w:r>
    </w:p>
    <w:p w14:paraId="49D0F787" w14:textId="5DA58E85" w:rsidR="00080A0D" w:rsidRPr="00080A0D" w:rsidRDefault="00080A0D" w:rsidP="00080A0D">
      <w:pPr>
        <w:spacing w:after="120" w:line="360" w:lineRule="auto"/>
        <w:ind w:left="567" w:right="1695"/>
        <w:rPr>
          <w:rFonts w:ascii="Arial" w:eastAsia="Arial" w:hAnsi="Arial" w:cs="Arial"/>
        </w:rPr>
      </w:pPr>
      <w:r>
        <w:rPr>
          <w:rFonts w:ascii="Arial" w:hAnsi="Arial"/>
          <w:b/>
        </w:rPr>
        <w:t>Cuvette :</w:t>
      </w:r>
      <w:r>
        <w:rPr>
          <w:rFonts w:ascii="Arial" w:hAnsi="Arial"/>
        </w:rPr>
        <w:t xml:space="preserve"> En passant dans un fond, la pression sur les éléments semeurs </w:t>
      </w:r>
      <w:proofErr w:type="gramStart"/>
      <w:r>
        <w:rPr>
          <w:rFonts w:ascii="Arial" w:hAnsi="Arial"/>
        </w:rPr>
        <w:t>a</w:t>
      </w:r>
      <w:proofErr w:type="gramEnd"/>
      <w:r>
        <w:rPr>
          <w:rFonts w:ascii="Arial" w:hAnsi="Arial"/>
        </w:rPr>
        <w:t xml:space="preserve"> tendance à augmenter. Cela génère une surpression dans le vérin de terrage de l’élément semeur qui est directement ramenée dans le circuit d’huile. Grâce à ce dispositif, la pression au sol reste constante.</w:t>
      </w:r>
    </w:p>
    <w:p w14:paraId="758F7915" w14:textId="77777777" w:rsidR="00080A0D" w:rsidRPr="00080A0D" w:rsidRDefault="00080A0D" w:rsidP="00080A0D">
      <w:pPr>
        <w:spacing w:after="120" w:line="360" w:lineRule="auto"/>
        <w:ind w:right="1695" w:firstLine="567"/>
        <w:rPr>
          <w:rFonts w:ascii="Arial" w:eastAsia="Arial" w:hAnsi="Arial" w:cs="Arial"/>
        </w:rPr>
      </w:pPr>
    </w:p>
    <w:p w14:paraId="7169D2BF" w14:textId="37E7A021" w:rsidR="00080A0D" w:rsidRDefault="00080A0D" w:rsidP="00080A0D">
      <w:pPr>
        <w:spacing w:after="120" w:line="360" w:lineRule="auto"/>
        <w:ind w:right="1695" w:firstLine="567"/>
        <w:rPr>
          <w:rFonts w:ascii="Arial" w:eastAsia="Arial" w:hAnsi="Arial" w:cs="Arial"/>
        </w:rPr>
      </w:pPr>
      <w:r>
        <w:rPr>
          <w:rFonts w:ascii="Arial" w:hAnsi="Arial"/>
          <w:noProof/>
        </w:rPr>
        <w:lastRenderedPageBreak/>
        <w:drawing>
          <wp:inline distT="0" distB="0" distL="0" distR="0" wp14:anchorId="4BF6F3B2" wp14:editId="3429D4CC">
            <wp:extent cx="4057200" cy="2880000"/>
            <wp:effectExtent l="0" t="0" r="0" b="3175"/>
            <wp:docPr id="1342866873"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2866873" name="Grafik 134286687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57200" cy="2880000"/>
                    </a:xfrm>
                    <a:prstGeom prst="rect">
                      <a:avLst/>
                    </a:prstGeom>
                  </pic:spPr>
                </pic:pic>
              </a:graphicData>
            </a:graphic>
          </wp:inline>
        </w:drawing>
      </w:r>
    </w:p>
    <w:p w14:paraId="17357D59" w14:textId="77777777" w:rsidR="00080A0D" w:rsidRPr="00080A0D" w:rsidRDefault="00080A0D" w:rsidP="00080A0D">
      <w:pPr>
        <w:spacing w:after="120" w:line="360" w:lineRule="auto"/>
        <w:ind w:right="1695" w:firstLine="567"/>
        <w:rPr>
          <w:rFonts w:ascii="Arial" w:eastAsia="Arial" w:hAnsi="Arial" w:cs="Arial"/>
        </w:rPr>
      </w:pPr>
      <w:r>
        <w:rPr>
          <w:rFonts w:ascii="Arial" w:hAnsi="Arial"/>
        </w:rPr>
        <w:t>Passage sur une butte</w:t>
      </w:r>
    </w:p>
    <w:p w14:paraId="13530D65" w14:textId="370BE038" w:rsidR="00080A0D" w:rsidRPr="00080A0D" w:rsidRDefault="00080A0D" w:rsidP="00080A0D">
      <w:pPr>
        <w:spacing w:after="120" w:line="360" w:lineRule="auto"/>
        <w:ind w:left="567" w:right="1695"/>
        <w:rPr>
          <w:rFonts w:ascii="Arial" w:eastAsia="Arial" w:hAnsi="Arial" w:cs="Arial"/>
        </w:rPr>
      </w:pPr>
      <w:r>
        <w:rPr>
          <w:rFonts w:ascii="Arial" w:hAnsi="Arial"/>
          <w:b/>
        </w:rPr>
        <w:t>Dôme :</w:t>
      </w:r>
      <w:r>
        <w:rPr>
          <w:rFonts w:ascii="Arial" w:hAnsi="Arial"/>
        </w:rPr>
        <w:t xml:space="preserve"> En passant sur un point haut, les éléments semeurs descendent, il en résulte une dépression dans le vérin de terrage. Celle-ci est immédiatement compensée par de l’huile supplémentaire provenant du circuit. Grâce à ce dispositif, la pression au sol reste constante.</w:t>
      </w:r>
    </w:p>
    <w:p w14:paraId="582909EC" w14:textId="77777777" w:rsidR="00080A0D" w:rsidRDefault="00080A0D" w:rsidP="00080A0D">
      <w:pPr>
        <w:spacing w:after="120" w:line="360" w:lineRule="auto"/>
        <w:ind w:right="1695" w:firstLine="567"/>
        <w:rPr>
          <w:rFonts w:ascii="Arial" w:eastAsia="Arial" w:hAnsi="Arial" w:cs="Arial"/>
        </w:rPr>
      </w:pPr>
    </w:p>
    <w:p w14:paraId="5E7FE724" w14:textId="5DBB8A43" w:rsidR="00080A0D" w:rsidRDefault="00080A0D" w:rsidP="00080A0D">
      <w:pPr>
        <w:spacing w:after="120" w:line="360" w:lineRule="auto"/>
        <w:ind w:right="1695" w:firstLine="567"/>
        <w:rPr>
          <w:rFonts w:ascii="Arial" w:eastAsia="Arial" w:hAnsi="Arial" w:cs="Arial"/>
        </w:rPr>
      </w:pPr>
      <w:r>
        <w:rPr>
          <w:rFonts w:ascii="Arial" w:hAnsi="Arial"/>
          <w:noProof/>
        </w:rPr>
        <w:drawing>
          <wp:inline distT="0" distB="0" distL="0" distR="0" wp14:anchorId="7EB41ED4" wp14:editId="433A71BA">
            <wp:extent cx="4064400" cy="2880000"/>
            <wp:effectExtent l="0" t="0" r="0" b="3175"/>
            <wp:docPr id="39363385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633855" name="Grafik 393633855"/>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567CF9B2" w14:textId="77777777" w:rsidR="00080A0D" w:rsidRPr="00080A0D" w:rsidRDefault="00080A0D" w:rsidP="00080A0D">
      <w:pPr>
        <w:spacing w:after="120" w:line="360" w:lineRule="auto"/>
        <w:ind w:right="1695" w:firstLine="567"/>
        <w:rPr>
          <w:rFonts w:ascii="Arial" w:eastAsia="Arial" w:hAnsi="Arial" w:cs="Arial"/>
        </w:rPr>
      </w:pPr>
      <w:r>
        <w:rPr>
          <w:rFonts w:ascii="Arial" w:hAnsi="Arial"/>
        </w:rPr>
        <w:t>Levée du champ</w:t>
      </w:r>
    </w:p>
    <w:p w14:paraId="133F87F4" w14:textId="77777777" w:rsidR="00080A0D" w:rsidRDefault="00080A0D" w:rsidP="00080A0D">
      <w:pPr>
        <w:spacing w:after="120" w:line="360" w:lineRule="auto"/>
        <w:ind w:right="1695" w:firstLine="567"/>
        <w:rPr>
          <w:rFonts w:ascii="Arial" w:eastAsia="Arial" w:hAnsi="Arial" w:cs="Arial"/>
        </w:rPr>
      </w:pPr>
    </w:p>
    <w:p w14:paraId="2D061E53" w14:textId="77777777" w:rsidR="00080A0D" w:rsidRDefault="00080A0D" w:rsidP="00080A0D">
      <w:pPr>
        <w:spacing w:after="120" w:line="360" w:lineRule="auto"/>
        <w:ind w:right="1695" w:firstLine="567"/>
        <w:rPr>
          <w:rFonts w:ascii="Arial" w:eastAsia="Arial" w:hAnsi="Arial" w:cs="Arial"/>
        </w:rPr>
      </w:pPr>
    </w:p>
    <w:p w14:paraId="74B02EFE" w14:textId="6C28EF5B" w:rsidR="00080A0D" w:rsidRDefault="00080A0D" w:rsidP="00080A0D">
      <w:pPr>
        <w:spacing w:after="120" w:line="360" w:lineRule="auto"/>
        <w:ind w:right="1695" w:firstLine="567"/>
        <w:rPr>
          <w:rFonts w:ascii="Arial" w:eastAsia="Arial" w:hAnsi="Arial" w:cs="Arial"/>
        </w:rPr>
      </w:pPr>
      <w:r>
        <w:rPr>
          <w:rFonts w:ascii="Arial" w:hAnsi="Arial"/>
          <w:noProof/>
        </w:rPr>
        <w:drawing>
          <wp:inline distT="0" distB="0" distL="0" distR="0" wp14:anchorId="79736912" wp14:editId="3F949C3C">
            <wp:extent cx="4064400" cy="2880000"/>
            <wp:effectExtent l="0" t="0" r="0" b="3175"/>
            <wp:docPr id="975492138"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492138" name="Grafik 975492138"/>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7014E06F" w14:textId="77777777" w:rsidR="00080A0D" w:rsidRPr="00080A0D" w:rsidRDefault="00080A0D" w:rsidP="00080A0D">
      <w:pPr>
        <w:spacing w:after="120" w:line="360" w:lineRule="auto"/>
        <w:ind w:right="1695" w:firstLine="567"/>
        <w:rPr>
          <w:rFonts w:ascii="Arial" w:eastAsia="Arial" w:hAnsi="Arial" w:cs="Arial"/>
        </w:rPr>
      </w:pPr>
      <w:r>
        <w:rPr>
          <w:rFonts w:ascii="Arial" w:hAnsi="Arial"/>
        </w:rPr>
        <w:t>Principe de travail du Condor</w:t>
      </w:r>
    </w:p>
    <w:p w14:paraId="0B3AFFA2" w14:textId="77777777" w:rsidR="00080A0D" w:rsidRDefault="00080A0D" w:rsidP="00080A0D">
      <w:pPr>
        <w:spacing w:after="120" w:line="360" w:lineRule="auto"/>
        <w:ind w:right="1695" w:firstLine="567"/>
        <w:rPr>
          <w:rFonts w:ascii="Arial" w:eastAsia="Arial" w:hAnsi="Arial" w:cs="Arial"/>
        </w:rPr>
      </w:pPr>
    </w:p>
    <w:p w14:paraId="2B83DE2B" w14:textId="77777777" w:rsidR="00080A0D" w:rsidRDefault="00080A0D" w:rsidP="00080A0D">
      <w:pPr>
        <w:spacing w:after="120" w:line="360" w:lineRule="auto"/>
        <w:ind w:right="1695" w:firstLine="567"/>
        <w:rPr>
          <w:rFonts w:ascii="Arial" w:eastAsia="Arial" w:hAnsi="Arial" w:cs="Arial"/>
        </w:rPr>
      </w:pPr>
    </w:p>
    <w:p w14:paraId="5F6FA88B" w14:textId="289FEE40" w:rsidR="00080A0D" w:rsidRDefault="00080A0D" w:rsidP="00080A0D">
      <w:pPr>
        <w:spacing w:after="120" w:line="360" w:lineRule="auto"/>
        <w:ind w:right="1695" w:firstLine="567"/>
        <w:rPr>
          <w:rFonts w:ascii="Arial" w:eastAsia="Arial" w:hAnsi="Arial" w:cs="Arial"/>
        </w:rPr>
      </w:pPr>
      <w:r>
        <w:rPr>
          <w:rFonts w:ascii="Arial" w:hAnsi="Arial"/>
          <w:noProof/>
        </w:rPr>
        <w:drawing>
          <wp:inline distT="0" distB="0" distL="0" distR="0" wp14:anchorId="1A83D8C8" wp14:editId="6736E24D">
            <wp:extent cx="4064400" cy="2880000"/>
            <wp:effectExtent l="0" t="0" r="0" b="3175"/>
            <wp:docPr id="1727998261"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7998261" name="Grafik 172799826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2FE7A45C" w14:textId="77777777" w:rsidR="00080A0D" w:rsidRDefault="00080A0D" w:rsidP="00080A0D">
      <w:pPr>
        <w:spacing w:after="120" w:line="360" w:lineRule="auto"/>
        <w:ind w:right="1695" w:firstLine="567"/>
        <w:rPr>
          <w:rFonts w:ascii="Arial" w:eastAsia="Arial" w:hAnsi="Arial" w:cs="Arial"/>
        </w:rPr>
      </w:pPr>
    </w:p>
    <w:p w14:paraId="46F07865" w14:textId="77777777" w:rsidR="00080A0D" w:rsidRDefault="00080A0D" w:rsidP="00080A0D">
      <w:pPr>
        <w:spacing w:after="120" w:line="360" w:lineRule="auto"/>
        <w:ind w:right="1695" w:firstLine="567"/>
        <w:rPr>
          <w:rFonts w:ascii="Arial" w:eastAsia="Arial" w:hAnsi="Arial" w:cs="Arial"/>
        </w:rPr>
      </w:pPr>
    </w:p>
    <w:p w14:paraId="5F143756" w14:textId="31FD8938" w:rsidR="00080A0D" w:rsidRDefault="00080A0D" w:rsidP="00080A0D">
      <w:pPr>
        <w:spacing w:after="120" w:line="360" w:lineRule="auto"/>
        <w:ind w:right="1695" w:firstLine="567"/>
        <w:rPr>
          <w:rFonts w:ascii="Arial" w:eastAsia="Arial" w:hAnsi="Arial" w:cs="Arial"/>
        </w:rPr>
      </w:pPr>
      <w:r>
        <w:rPr>
          <w:rFonts w:ascii="Arial" w:hAnsi="Arial"/>
          <w:noProof/>
        </w:rPr>
        <w:lastRenderedPageBreak/>
        <w:drawing>
          <wp:inline distT="0" distB="0" distL="0" distR="0" wp14:anchorId="6685FAB7" wp14:editId="7973B6C0">
            <wp:extent cx="4057200" cy="2880000"/>
            <wp:effectExtent l="0" t="0" r="0" b="3175"/>
            <wp:docPr id="1539964587"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9964587" name="Grafik 1539964587"/>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057200" cy="2880000"/>
                    </a:xfrm>
                    <a:prstGeom prst="rect">
                      <a:avLst/>
                    </a:prstGeom>
                  </pic:spPr>
                </pic:pic>
              </a:graphicData>
            </a:graphic>
          </wp:inline>
        </w:drawing>
      </w:r>
    </w:p>
    <w:p w14:paraId="218CD280" w14:textId="77777777" w:rsidR="00080A0D" w:rsidRPr="00080A0D" w:rsidRDefault="00080A0D" w:rsidP="00080A0D">
      <w:pPr>
        <w:spacing w:after="120" w:line="360" w:lineRule="auto"/>
        <w:ind w:right="1695" w:firstLine="567"/>
        <w:rPr>
          <w:rFonts w:ascii="Arial" w:eastAsia="Arial" w:hAnsi="Arial" w:cs="Arial"/>
        </w:rPr>
      </w:pPr>
      <w:r>
        <w:rPr>
          <w:rFonts w:ascii="Arial" w:hAnsi="Arial"/>
        </w:rPr>
        <w:t>Semis direct après l’ensilage de CIVE</w:t>
      </w:r>
    </w:p>
    <w:p w14:paraId="58C1B661" w14:textId="77777777" w:rsidR="00080A0D" w:rsidRPr="00080A0D" w:rsidRDefault="00080A0D" w:rsidP="00080A0D">
      <w:pPr>
        <w:spacing w:after="120" w:line="360" w:lineRule="auto"/>
        <w:ind w:right="1695" w:firstLine="567"/>
        <w:rPr>
          <w:rFonts w:ascii="Arial" w:eastAsia="Arial" w:hAnsi="Arial" w:cs="Arial"/>
        </w:rPr>
      </w:pPr>
    </w:p>
    <w:p w14:paraId="5CAE960D" w14:textId="77777777" w:rsidR="000B28FB" w:rsidRDefault="000B28FB" w:rsidP="000B28FB">
      <w:pPr>
        <w:spacing w:after="120" w:line="360" w:lineRule="auto"/>
        <w:ind w:right="1695"/>
        <w:rPr>
          <w:rFonts w:ascii="Arial" w:eastAsia="Arial" w:hAnsi="Arial" w:cs="Arial"/>
        </w:rPr>
      </w:pPr>
    </w:p>
    <w:p w14:paraId="0F4F4FF1" w14:textId="77777777" w:rsidR="00080A0D" w:rsidRPr="00F4316E" w:rsidRDefault="00080A0D" w:rsidP="000B28FB">
      <w:pPr>
        <w:spacing w:after="120" w:line="360" w:lineRule="auto"/>
        <w:ind w:right="1695"/>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Les illustrations, contenus et spécifications techniques sont sans engagement de notre part et peuvent varier en fonction de l’équipement. Les dispositions applicables du code de la route du pays concerné doivent être respectées, de sorte qu'une autorisation spéciale peut être exigée.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À propos de la société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Les AMAZONEN-WERKE H. Dreyer SE &amp; Co. KG dont le siège principal se situe à 49205 </w:t>
      </w:r>
      <w:proofErr w:type="spellStart"/>
      <w:r>
        <w:rPr>
          <w:rFonts w:ascii="Arial" w:hAnsi="Arial"/>
          <w:color w:val="808080" w:themeColor="background1" w:themeShade="80"/>
          <w:sz w:val="20"/>
        </w:rPr>
        <w:t>Hasbergen</w:t>
      </w:r>
      <w:proofErr w:type="spellEnd"/>
      <w:r>
        <w:rPr>
          <w:rFonts w:ascii="Arial" w:hAnsi="Arial"/>
          <w:color w:val="808080" w:themeColor="background1" w:themeShade="80"/>
          <w:sz w:val="20"/>
        </w:rPr>
        <w:t>-Gaste fabriquent des matériels agricoles et espaces verts. L’entreprise dirigée par ses propriétaires emploie plus de 2 500 salariés sur neuf sites de production différents. Les outils de préparation du sol, les semoirs, les épandeurs d’engrais, les pulvérisateurs et les bineuses font partie de la gamme de production des matériels agricoles. Sur la base de ces compétences clés, AMAZONE est aujourd’hui le spécialiste d’une « agriculture durable ». AMAZONE propose également des matériels d'entretien des parcs et espaces verts ainsi que pour le service hivernal.</w:t>
      </w:r>
    </w:p>
    <w:p w14:paraId="2853F425"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Plus d’informations : </w:t>
      </w:r>
      <w:hyperlink r:id="rId18" w:history="1">
        <w:r>
          <w:rPr>
            <w:rStyle w:val="Hyperlink"/>
            <w:rFonts w:ascii="Arial" w:hAnsi="Arial"/>
            <w:sz w:val="20"/>
          </w:rPr>
          <w:t>www.amazone.fr</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5463F55D">
            <wp:extent cx="241300" cy="241300"/>
            <wp:effectExtent l="0" t="0" r="6350" b="6350"/>
            <wp:docPr id="13" name="Grafik 13">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9"/>
                    </pic:cNvPr>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23A38CF9">
            <wp:extent cx="241300" cy="241300"/>
            <wp:effectExtent l="0" t="0" r="6350" b="6350"/>
            <wp:docPr id="12" name="Grafik 12">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3594AC52">
            <wp:extent cx="241300" cy="241300"/>
            <wp:effectExtent l="0" t="0" r="6350" b="6350"/>
            <wp:docPr id="11" name="Grafik 11">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48DBDC06">
            <wp:extent cx="241300" cy="241300"/>
            <wp:effectExtent l="0" t="0" r="6350" b="6350"/>
            <wp:docPr id="10" name="Grafik 10">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8"/>
                    </pic:cNvPr>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39D20378">
            <wp:extent cx="241300" cy="241300"/>
            <wp:effectExtent l="0" t="0" r="6350" b="6350"/>
            <wp:docPr id="7" name="Grafik 7">
              <a:hlinkClick xmlns:a="http://schemas.openxmlformats.org/drawingml/2006/main" r:id="rId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31"/>
                    </pic:cNvPr>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34"/>
      <w:footerReference w:type="default" r:id="rId35"/>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311727" w14:textId="77777777" w:rsidR="0091352C" w:rsidRDefault="0091352C">
      <w:r>
        <w:separator/>
      </w:r>
    </w:p>
  </w:endnote>
  <w:endnote w:type="continuationSeparator" w:id="0">
    <w:p w14:paraId="3FE6ED20" w14:textId="77777777" w:rsidR="0091352C" w:rsidRDefault="009135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w:t>
                          </w:r>
                          <w:proofErr w:type="spellEnd"/>
                          <w:r>
                            <w:rPr>
                              <w:rFonts w:ascii="Arial" w:hAnsi="Arial"/>
                              <w:sz w:val="20"/>
                            </w:rPr>
                            <w:t>-Gaste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Tél. :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w:t>
                    </w:r>
                    <w:proofErr w:type="spellEnd"/>
                    <w:r>
                      <w:rPr>
                        <w:rFonts w:ascii="Arial" w:hAnsi="Arial"/>
                        <w:sz w:val="20"/>
                      </w:rPr>
                      <w:t>-Gaste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Tél. : +49 (0)5405 501-0 ∙ amazone@amazone.de ∙ www.amazone.de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783138" w14:textId="77777777" w:rsidR="0091352C" w:rsidRDefault="0091352C">
      <w:r>
        <w:separator/>
      </w:r>
    </w:p>
  </w:footnote>
  <w:footnote w:type="continuationSeparator" w:id="0">
    <w:p w14:paraId="01FBFBC4" w14:textId="77777777" w:rsidR="0091352C" w:rsidRDefault="0091352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7D0752"/>
    <w:multiLevelType w:val="hybridMultilevel"/>
    <w:tmpl w:val="F9E200D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3"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0EB27873"/>
    <w:multiLevelType w:val="hybridMultilevel"/>
    <w:tmpl w:val="53FECC68"/>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6"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7" w15:restartNumberingAfterBreak="0">
    <w:nsid w:val="19E34999"/>
    <w:multiLevelType w:val="hybridMultilevel"/>
    <w:tmpl w:val="61DEE8DE"/>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8" w15:restartNumberingAfterBreak="0">
    <w:nsid w:val="1C563E75"/>
    <w:multiLevelType w:val="hybridMultilevel"/>
    <w:tmpl w:val="A202A98C"/>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9"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10" w15:restartNumberingAfterBreak="0">
    <w:nsid w:val="1CF22476"/>
    <w:multiLevelType w:val="hybridMultilevel"/>
    <w:tmpl w:val="DFE864E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1" w15:restartNumberingAfterBreak="0">
    <w:nsid w:val="1D1F59FD"/>
    <w:multiLevelType w:val="hybridMultilevel"/>
    <w:tmpl w:val="3D48480C"/>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E94385B"/>
    <w:multiLevelType w:val="hybridMultilevel"/>
    <w:tmpl w:val="2A0EDB54"/>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3" w15:restartNumberingAfterBreak="0">
    <w:nsid w:val="209B1961"/>
    <w:multiLevelType w:val="hybridMultilevel"/>
    <w:tmpl w:val="0930B836"/>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4" w15:restartNumberingAfterBreak="0">
    <w:nsid w:val="25131395"/>
    <w:multiLevelType w:val="hybridMultilevel"/>
    <w:tmpl w:val="3B685506"/>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26FB250A"/>
    <w:multiLevelType w:val="hybridMultilevel"/>
    <w:tmpl w:val="5DBA14D4"/>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7" w15:restartNumberingAfterBreak="0">
    <w:nsid w:val="2AC03FCE"/>
    <w:multiLevelType w:val="hybridMultilevel"/>
    <w:tmpl w:val="12B4CA86"/>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18"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9"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1"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2" w15:restartNumberingAfterBreak="0">
    <w:nsid w:val="4E8B71AC"/>
    <w:multiLevelType w:val="hybridMultilevel"/>
    <w:tmpl w:val="BE569C30"/>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4" w15:restartNumberingAfterBreak="0">
    <w:nsid w:val="547F4BEA"/>
    <w:multiLevelType w:val="hybridMultilevel"/>
    <w:tmpl w:val="16BA3838"/>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E9D0734"/>
    <w:multiLevelType w:val="hybridMultilevel"/>
    <w:tmpl w:val="F29CDF12"/>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6"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27"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28"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9" w15:restartNumberingAfterBreak="0">
    <w:nsid w:val="6DF3463D"/>
    <w:multiLevelType w:val="hybridMultilevel"/>
    <w:tmpl w:val="D0444AA2"/>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1"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32" w15:restartNumberingAfterBreak="0">
    <w:nsid w:val="7E735C7D"/>
    <w:multiLevelType w:val="hybridMultilevel"/>
    <w:tmpl w:val="E19CBB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19"/>
  </w:num>
  <w:num w:numId="2" w16cid:durableId="1510219160">
    <w:abstractNumId w:val="2"/>
  </w:num>
  <w:num w:numId="3" w16cid:durableId="613364659">
    <w:abstractNumId w:val="9"/>
  </w:num>
  <w:num w:numId="4" w16cid:durableId="1043675452">
    <w:abstractNumId w:val="16"/>
  </w:num>
  <w:num w:numId="5" w16cid:durableId="2011105495">
    <w:abstractNumId w:val="6"/>
  </w:num>
  <w:num w:numId="6" w16cid:durableId="494960578">
    <w:abstractNumId w:val="1"/>
  </w:num>
  <w:num w:numId="7" w16cid:durableId="2097939876">
    <w:abstractNumId w:val="28"/>
  </w:num>
  <w:num w:numId="8" w16cid:durableId="33434184">
    <w:abstractNumId w:val="21"/>
  </w:num>
  <w:num w:numId="9" w16cid:durableId="274018629">
    <w:abstractNumId w:val="26"/>
  </w:num>
  <w:num w:numId="10" w16cid:durableId="1622229493">
    <w:abstractNumId w:val="27"/>
  </w:num>
  <w:num w:numId="11" w16cid:durableId="280575959">
    <w:abstractNumId w:val="23"/>
  </w:num>
  <w:num w:numId="12" w16cid:durableId="169492611">
    <w:abstractNumId w:val="30"/>
  </w:num>
  <w:num w:numId="13" w16cid:durableId="711804392">
    <w:abstractNumId w:val="31"/>
  </w:num>
  <w:num w:numId="14" w16cid:durableId="614945063">
    <w:abstractNumId w:val="4"/>
  </w:num>
  <w:num w:numId="15" w16cid:durableId="787310930">
    <w:abstractNumId w:val="18"/>
  </w:num>
  <w:num w:numId="16" w16cid:durableId="1954821959">
    <w:abstractNumId w:val="20"/>
  </w:num>
  <w:num w:numId="17" w16cid:durableId="1429236192">
    <w:abstractNumId w:val="3"/>
  </w:num>
  <w:num w:numId="18" w16cid:durableId="801196723">
    <w:abstractNumId w:val="32"/>
  </w:num>
  <w:num w:numId="19" w16cid:durableId="595864091">
    <w:abstractNumId w:val="13"/>
  </w:num>
  <w:num w:numId="20" w16cid:durableId="2085832550">
    <w:abstractNumId w:val="25"/>
  </w:num>
  <w:num w:numId="21" w16cid:durableId="1235970655">
    <w:abstractNumId w:val="0"/>
  </w:num>
  <w:num w:numId="22" w16cid:durableId="454446071">
    <w:abstractNumId w:val="12"/>
  </w:num>
  <w:num w:numId="23" w16cid:durableId="1538158893">
    <w:abstractNumId w:val="5"/>
  </w:num>
  <w:num w:numId="24" w16cid:durableId="1042562684">
    <w:abstractNumId w:val="29"/>
  </w:num>
  <w:num w:numId="25" w16cid:durableId="952515695">
    <w:abstractNumId w:val="11"/>
  </w:num>
  <w:num w:numId="26" w16cid:durableId="741101877">
    <w:abstractNumId w:val="17"/>
  </w:num>
  <w:num w:numId="27" w16cid:durableId="1955868104">
    <w:abstractNumId w:val="10"/>
  </w:num>
  <w:num w:numId="28" w16cid:durableId="1288392759">
    <w:abstractNumId w:val="15"/>
  </w:num>
  <w:num w:numId="29" w16cid:durableId="1930917636">
    <w:abstractNumId w:val="14"/>
  </w:num>
  <w:num w:numId="30" w16cid:durableId="133837937">
    <w:abstractNumId w:val="7"/>
  </w:num>
  <w:num w:numId="31" w16cid:durableId="1949579619">
    <w:abstractNumId w:val="24"/>
  </w:num>
  <w:num w:numId="32" w16cid:durableId="2112696074">
    <w:abstractNumId w:val="22"/>
  </w:num>
  <w:num w:numId="33" w16cid:durableId="168763437">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1"/>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0A0D"/>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8FB"/>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643F"/>
    <w:rsid w:val="0027763F"/>
    <w:rsid w:val="002804E4"/>
    <w:rsid w:val="00280DCF"/>
    <w:rsid w:val="00281B1F"/>
    <w:rsid w:val="002828C5"/>
    <w:rsid w:val="002829C0"/>
    <w:rsid w:val="00282A84"/>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2BEF"/>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3496"/>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36E5"/>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676C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5A53"/>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3BD1"/>
    <w:rsid w:val="009056AA"/>
    <w:rsid w:val="00910A7E"/>
    <w:rsid w:val="00911D0D"/>
    <w:rsid w:val="0091352C"/>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49A0"/>
    <w:rsid w:val="00A1027B"/>
    <w:rsid w:val="00A10512"/>
    <w:rsid w:val="00A13169"/>
    <w:rsid w:val="00A16777"/>
    <w:rsid w:val="00A16D39"/>
    <w:rsid w:val="00A22D78"/>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583"/>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2E9"/>
    <w:rsid w:val="00AC4C25"/>
    <w:rsid w:val="00AC4FDA"/>
    <w:rsid w:val="00AC5950"/>
    <w:rsid w:val="00AC6EE2"/>
    <w:rsid w:val="00AC702A"/>
    <w:rsid w:val="00AD0821"/>
    <w:rsid w:val="00AD0A4E"/>
    <w:rsid w:val="00AD2461"/>
    <w:rsid w:val="00AD3A37"/>
    <w:rsid w:val="00AD4CFD"/>
    <w:rsid w:val="00AE1395"/>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1F6A"/>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6CF4"/>
    <w:rsid w:val="00E97658"/>
    <w:rsid w:val="00EA00A7"/>
    <w:rsid w:val="00EA0CD0"/>
    <w:rsid w:val="00EA1C8E"/>
    <w:rsid w:val="00EA63A7"/>
    <w:rsid w:val="00EA6DCE"/>
    <w:rsid w:val="00EA76FC"/>
    <w:rsid w:val="00EB27C5"/>
    <w:rsid w:val="00EB49A8"/>
    <w:rsid w:val="00EC1F4D"/>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133"/>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fr-FR"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s://www.amazone.fr" TargetMode="External"/><Relationship Id="rId26" Type="http://schemas.openxmlformats.org/officeDocument/2006/relationships/image" Target="media/image13.jpeg"/><Relationship Id="rId21" Type="http://schemas.openxmlformats.org/officeDocument/2006/relationships/image" Target="cid:FB_70d43fd1-a841-4de4-bbaa-3e1f495f95d3.jpg" TargetMode="External"/><Relationship Id="rId34"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hyperlink" Target="https://www.youtube.com/user/amazonede" TargetMode="External"/><Relationship Id="rId33" Type="http://schemas.openxmlformats.org/officeDocument/2006/relationships/image" Target="cid:Xing1_e3730686-2953-47a9-9c47-dbaa518a9207.jpg" TargetMode="Externa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1.jpeg"/><Relationship Id="rId29" Type="http://schemas.openxmlformats.org/officeDocument/2006/relationships/image" Target="media/image1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IG_efb650a7-31e4-4674-98db-f2d2d5c58dce.jpg" TargetMode="External"/><Relationship Id="rId32" Type="http://schemas.openxmlformats.org/officeDocument/2006/relationships/image" Target="media/image15.jpe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2.jpeg"/><Relationship Id="rId28" Type="http://schemas.openxmlformats.org/officeDocument/2006/relationships/hyperlink" Target="https://www.linkedin.com/company/amazone-france/" TargetMode="External"/><Relationship Id="rId36"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hyperlink" Target="https://www.facebook.com/amazone.france" TargetMode="External"/><Relationship Id="rId31" Type="http://schemas.openxmlformats.org/officeDocument/2006/relationships/hyperlink" Target="https://www.xing.com/company/amazone"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s://instagram.com/amazone_france" TargetMode="External"/><Relationship Id="rId27" Type="http://schemas.openxmlformats.org/officeDocument/2006/relationships/image" Target="cid:YT_e9180d16-5a2b-4618-92e9-22a015f9cafb.jpg" TargetMode="External"/><Relationship Id="rId30" Type="http://schemas.openxmlformats.org/officeDocument/2006/relationships/image" Target="cid:LinkedIn_80de4e9c-c7a3-41e3-8e11-063f7eace13d.jpg" TargetMode="External"/><Relationship Id="rId35" Type="http://schemas.openxmlformats.org/officeDocument/2006/relationships/footer" Target="footer1.xml"/><Relationship Id="rId8" Type="http://schemas.openxmlformats.org/officeDocument/2006/relationships/image" Target="media/image1.jpe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6.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1341</Words>
  <Characters>7123</Characters>
  <Application>Microsoft Office Word</Application>
  <DocSecurity>0</DocSecurity>
  <Lines>59</Lines>
  <Paragraphs>16</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8448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2025-08-18T10:30:00Z</dcterms:created>
  <dcterms:modified xsi:type="dcterms:W3CDTF">2025-09-02T08:12:00Z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