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14F0B" w14:textId="77777777" w:rsidR="00CA3ABB" w:rsidRPr="00CA3ABB" w:rsidRDefault="00CA3ABB" w:rsidP="00CA3ABB">
      <w:pPr>
        <w:spacing w:line="360" w:lineRule="auto"/>
        <w:ind w:left="567" w:right="1695"/>
        <w:rPr>
          <w:rFonts w:ascii="Arial" w:hAnsi="Arial" w:cs="Arial"/>
          <w:b/>
          <w:bCs/>
          <w:sz w:val="28"/>
          <w:szCs w:val="28"/>
        </w:rPr>
      </w:pPr>
      <w:r>
        <w:rPr>
          <w:rFonts w:ascii="Arial" w:hAnsi="Arial"/>
          <w:b/>
          <w:sz w:val="28"/>
        </w:rPr>
        <w:t xml:space="preserve">New </w:t>
      </w:r>
      <w:proofErr w:type="spellStart"/>
      <w:r>
        <w:rPr>
          <w:rFonts w:ascii="Arial" w:hAnsi="Arial"/>
          <w:b/>
          <w:sz w:val="28"/>
        </w:rPr>
        <w:t>Precea</w:t>
      </w:r>
      <w:proofErr w:type="spellEnd"/>
      <w:r>
        <w:rPr>
          <w:rFonts w:ascii="Arial" w:hAnsi="Arial"/>
          <w:b/>
          <w:sz w:val="28"/>
        </w:rPr>
        <w:t xml:space="preserve"> 7500-TCC precision air </w:t>
      </w:r>
      <w:proofErr w:type="spellStart"/>
      <w:r>
        <w:rPr>
          <w:rFonts w:ascii="Arial" w:hAnsi="Arial"/>
          <w:b/>
          <w:sz w:val="28"/>
        </w:rPr>
        <w:t>seeder</w:t>
      </w:r>
      <w:proofErr w:type="spellEnd"/>
    </w:p>
    <w:p w14:paraId="42E6C956" w14:textId="77777777" w:rsidR="00CA3ABB" w:rsidRPr="00CA3ABB" w:rsidRDefault="00CA3ABB" w:rsidP="00CA3ABB">
      <w:pPr>
        <w:spacing w:line="360" w:lineRule="auto"/>
        <w:ind w:left="567" w:right="1695"/>
        <w:rPr>
          <w:rFonts w:ascii="Arial" w:hAnsi="Arial" w:cs="Arial"/>
          <w:b/>
          <w:bCs/>
        </w:rPr>
      </w:pPr>
      <w:r>
        <w:rPr>
          <w:rFonts w:ascii="Arial" w:hAnsi="Arial"/>
          <w:b/>
        </w:rPr>
        <w:t xml:space="preserve">New levels of equipment: leading star clearers, twin tyres, </w:t>
      </w:r>
      <w:proofErr w:type="spellStart"/>
      <w:r>
        <w:rPr>
          <w:rFonts w:ascii="Arial" w:hAnsi="Arial"/>
          <w:b/>
        </w:rPr>
        <w:t>FertiSpot</w:t>
      </w:r>
      <w:proofErr w:type="spellEnd"/>
    </w:p>
    <w:p w14:paraId="77523A59" w14:textId="77777777" w:rsidR="00070765" w:rsidRDefault="00070765" w:rsidP="00330541">
      <w:pPr>
        <w:spacing w:line="360" w:lineRule="auto"/>
        <w:ind w:left="567" w:right="1695"/>
        <w:rPr>
          <w:rFonts w:ascii="Arial" w:hAnsi="Arial" w:cs="Arial"/>
        </w:rPr>
      </w:pPr>
    </w:p>
    <w:p w14:paraId="08EA2CC6"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7500-TCC precision air </w:t>
      </w:r>
      <w:proofErr w:type="spellStart"/>
      <w:r>
        <w:rPr>
          <w:rFonts w:ascii="Arial" w:hAnsi="Arial"/>
        </w:rPr>
        <w:t>seeder</w:t>
      </w:r>
      <w:proofErr w:type="spellEnd"/>
      <w:r>
        <w:rPr>
          <w:rFonts w:ascii="Arial" w:hAnsi="Arial"/>
        </w:rPr>
        <w:t xml:space="preserve"> with a </w:t>
      </w:r>
      <w:proofErr w:type="gramStart"/>
      <w:r>
        <w:rPr>
          <w:rFonts w:ascii="Arial" w:hAnsi="Arial"/>
        </w:rPr>
        <w:t>3,000 litre</w:t>
      </w:r>
      <w:proofErr w:type="gramEnd"/>
      <w:r>
        <w:rPr>
          <w:rFonts w:ascii="Arial" w:hAnsi="Arial"/>
        </w:rPr>
        <w:t xml:space="preserve"> fertiliser hopper and a working width of 7.5 m is available in 2 different versions, just like the </w:t>
      </w:r>
      <w:proofErr w:type="spellStart"/>
      <w:r>
        <w:rPr>
          <w:rFonts w:ascii="Arial" w:hAnsi="Arial"/>
        </w:rPr>
        <w:t>Precea</w:t>
      </w:r>
      <w:proofErr w:type="spellEnd"/>
      <w:r>
        <w:rPr>
          <w:rFonts w:ascii="Arial" w:hAnsi="Arial"/>
        </w:rPr>
        <w:t xml:space="preserve"> 6000-TCC with a 6 m working width.</w:t>
      </w:r>
    </w:p>
    <w:p w14:paraId="1AC45F74" w14:textId="77777777" w:rsidR="00CA3ABB" w:rsidRPr="00CA3ABB" w:rsidRDefault="00CA3ABB" w:rsidP="00CA3ABB">
      <w:pPr>
        <w:spacing w:after="120" w:line="360" w:lineRule="auto"/>
        <w:ind w:left="567" w:right="1695"/>
        <w:rPr>
          <w:rFonts w:ascii="Arial" w:eastAsia="Arial" w:hAnsi="Arial" w:cs="Arial"/>
        </w:rPr>
      </w:pPr>
    </w:p>
    <w:p w14:paraId="7A8EAF77"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t>Centralised and decentralised seed hoppers</w:t>
      </w:r>
    </w:p>
    <w:p w14:paraId="4EEE6FA0"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with a central seed hopper with 850 litre hopper capacity and the Central Seed Supply (CSS) seed feed system, holds the seed in the large hopper and feeds the seed to the individual sowing units as and when required. Centralised filling via </w:t>
      </w:r>
      <w:proofErr w:type="spellStart"/>
      <w:r>
        <w:rPr>
          <w:rFonts w:ascii="Arial" w:hAnsi="Arial"/>
        </w:rPr>
        <w:t>Bigbags</w:t>
      </w:r>
      <w:proofErr w:type="spellEnd"/>
      <w:r>
        <w:rPr>
          <w:rFonts w:ascii="Arial" w:hAnsi="Arial"/>
        </w:rPr>
        <w:t xml:space="preserve"> and the large hopper capacity make the </w:t>
      </w:r>
      <w:proofErr w:type="spellStart"/>
      <w:r>
        <w:rPr>
          <w:rFonts w:ascii="Arial" w:hAnsi="Arial"/>
        </w:rPr>
        <w:t>Precea</w:t>
      </w:r>
      <w:proofErr w:type="spellEnd"/>
      <w:r>
        <w:rPr>
          <w:rFonts w:ascii="Arial" w:hAnsi="Arial"/>
        </w:rPr>
        <w:t xml:space="preserve"> 7500-TCC a high performing machine for large farms and contractors working large areas.</w:t>
      </w:r>
    </w:p>
    <w:p w14:paraId="2C3D2FA8" w14:textId="77777777" w:rsidR="00CA3ABB" w:rsidRPr="00CA3ABB" w:rsidRDefault="00CA3ABB" w:rsidP="00CA3ABB">
      <w:pPr>
        <w:spacing w:after="120" w:line="360" w:lineRule="auto"/>
        <w:ind w:left="567" w:right="1695"/>
        <w:rPr>
          <w:rFonts w:ascii="Arial" w:eastAsia="Arial" w:hAnsi="Arial" w:cs="Arial"/>
        </w:rPr>
      </w:pPr>
    </w:p>
    <w:p w14:paraId="425A1467"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also offers the </w:t>
      </w:r>
      <w:proofErr w:type="spellStart"/>
      <w:r>
        <w:rPr>
          <w:rFonts w:ascii="Arial" w:hAnsi="Arial"/>
        </w:rPr>
        <w:t>Precea</w:t>
      </w:r>
      <w:proofErr w:type="spellEnd"/>
      <w:r>
        <w:rPr>
          <w:rFonts w:ascii="Arial" w:hAnsi="Arial"/>
        </w:rPr>
        <w:t xml:space="preserve"> 7500-TCC with seed hoppers on the individual sowing units. The </w:t>
      </w:r>
      <w:proofErr w:type="spellStart"/>
      <w:r>
        <w:rPr>
          <w:rFonts w:ascii="Arial" w:hAnsi="Arial"/>
        </w:rPr>
        <w:t>Precea</w:t>
      </w:r>
      <w:proofErr w:type="spellEnd"/>
      <w:r>
        <w:rPr>
          <w:rFonts w:ascii="Arial" w:hAnsi="Arial"/>
        </w:rPr>
        <w:t>, with its 70 litre seed hoppers, is ideal for small areas with frequent seed changes, or for carrying out variety trials.</w:t>
      </w:r>
    </w:p>
    <w:p w14:paraId="14CD7B21" w14:textId="77777777" w:rsidR="00CA3ABB" w:rsidRPr="00CA3ABB" w:rsidRDefault="00CA3ABB" w:rsidP="00CA3ABB">
      <w:pPr>
        <w:spacing w:after="120" w:line="360" w:lineRule="auto"/>
        <w:ind w:left="567" w:right="1695"/>
        <w:rPr>
          <w:rFonts w:ascii="Arial" w:eastAsia="Arial" w:hAnsi="Arial" w:cs="Arial"/>
        </w:rPr>
      </w:pPr>
    </w:p>
    <w:p w14:paraId="29F94D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introduces new equipment options for its trailed precision </w:t>
      </w:r>
      <w:proofErr w:type="spellStart"/>
      <w:r>
        <w:rPr>
          <w:rFonts w:ascii="Arial" w:hAnsi="Arial"/>
        </w:rPr>
        <w:t>seeders</w:t>
      </w:r>
      <w:proofErr w:type="spellEnd"/>
      <w:r>
        <w:rPr>
          <w:rFonts w:ascii="Arial" w:hAnsi="Arial"/>
        </w:rPr>
        <w:t xml:space="preserve">. For the spring season, </w:t>
      </w:r>
      <w:proofErr w:type="spellStart"/>
      <w:r>
        <w:rPr>
          <w:rFonts w:ascii="Arial" w:hAnsi="Arial"/>
        </w:rPr>
        <w:t>Precea</w:t>
      </w:r>
      <w:proofErr w:type="spellEnd"/>
      <w:r>
        <w:rPr>
          <w:rFonts w:ascii="Arial" w:hAnsi="Arial"/>
        </w:rPr>
        <w:t xml:space="preserve"> models can be ordered with leading star clearers. This optional equipment is an ideal tool for removing straw residues and organic matter from around the sowing coulter area, especially when mulch sowing. </w:t>
      </w:r>
    </w:p>
    <w:p w14:paraId="5C301627" w14:textId="38156CDA" w:rsidR="004779AE" w:rsidRDefault="004779AE">
      <w:pPr>
        <w:rPr>
          <w:rFonts w:ascii="Arial" w:eastAsia="Arial" w:hAnsi="Arial" w:cs="Arial"/>
        </w:rPr>
      </w:pPr>
      <w:r>
        <w:rPr>
          <w:rFonts w:ascii="Arial" w:eastAsia="Arial" w:hAnsi="Arial" w:cs="Arial"/>
        </w:rPr>
        <w:br w:type="page"/>
      </w:r>
    </w:p>
    <w:p w14:paraId="3BCEBCD2"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Leading star clearer with wide guide rollers</w:t>
      </w:r>
    </w:p>
    <w:p w14:paraId="052E984A"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offers the new leading star clearers in a manually adjustable version or, alternatively, with pneumatic adjustment - in front of the fertiliser and seed openers so that the organic matter is not pressed into the seed furrow. This optimises the result and creates an ideal seed furrow. The star clearer reliably clears the surface. Thanks to their own inherent weight and the large, wide guide rollers, they are guided neatly within the furrow.</w:t>
      </w:r>
    </w:p>
    <w:p w14:paraId="6794F3BF" w14:textId="77777777" w:rsidR="00CA3ABB" w:rsidRPr="00CA3ABB" w:rsidRDefault="00CA3ABB" w:rsidP="00CA3ABB">
      <w:pPr>
        <w:spacing w:after="120" w:line="360" w:lineRule="auto"/>
        <w:ind w:left="567" w:right="1695"/>
        <w:rPr>
          <w:rFonts w:ascii="Arial" w:eastAsia="Arial" w:hAnsi="Arial" w:cs="Arial"/>
        </w:rPr>
      </w:pPr>
    </w:p>
    <w:p w14:paraId="5857CE50" w14:textId="77777777" w:rsidR="00CA3ABB" w:rsidRPr="00CA3ABB" w:rsidRDefault="00CA3ABB" w:rsidP="00CA3ABB">
      <w:pPr>
        <w:spacing w:after="120" w:line="360" w:lineRule="auto"/>
        <w:ind w:left="567" w:right="1695"/>
        <w:rPr>
          <w:rFonts w:ascii="Arial" w:eastAsia="Arial" w:hAnsi="Arial" w:cs="Arial"/>
        </w:rPr>
      </w:pPr>
      <w:r>
        <w:rPr>
          <w:rFonts w:ascii="Arial" w:hAnsi="Arial"/>
        </w:rPr>
        <w:t>For the manual version, the height of the clearing tools is adjusted using the tool provided and can be locked in place using the quadrant.</w:t>
      </w:r>
    </w:p>
    <w:p w14:paraId="3B92AA6E" w14:textId="77777777" w:rsidR="00CA3ABB" w:rsidRPr="00CA3ABB" w:rsidRDefault="00CA3ABB" w:rsidP="00CA3ABB">
      <w:pPr>
        <w:spacing w:after="120" w:line="360" w:lineRule="auto"/>
        <w:ind w:left="567" w:right="1695"/>
        <w:rPr>
          <w:rFonts w:ascii="Arial" w:eastAsia="Arial" w:hAnsi="Arial" w:cs="Arial"/>
        </w:rPr>
      </w:pPr>
    </w:p>
    <w:p w14:paraId="04A10FDD" w14:textId="77777777" w:rsidR="00CA3ABB" w:rsidRPr="00CA3ABB" w:rsidRDefault="00CA3ABB" w:rsidP="00CA3ABB">
      <w:pPr>
        <w:spacing w:after="120" w:line="360" w:lineRule="auto"/>
        <w:ind w:left="567" w:right="1695"/>
        <w:rPr>
          <w:rFonts w:ascii="Arial" w:eastAsia="Arial" w:hAnsi="Arial" w:cs="Arial"/>
        </w:rPr>
      </w:pPr>
      <w:r>
        <w:rPr>
          <w:rFonts w:ascii="Arial" w:hAnsi="Arial"/>
        </w:rPr>
        <w:t>The pneumatic version of the star clearer can be adjusted in height centrally on the implement and it can also be deactivated. Its own inherent weight and the pneumatic pressure cylinder ensure smooth running at high speeds.</w:t>
      </w:r>
    </w:p>
    <w:p w14:paraId="31EA32DB" w14:textId="77777777" w:rsidR="00CA3ABB" w:rsidRPr="00CA3ABB" w:rsidRDefault="00CA3ABB" w:rsidP="00CA3ABB">
      <w:pPr>
        <w:spacing w:after="120" w:line="360" w:lineRule="auto"/>
        <w:ind w:left="567" w:right="1695"/>
        <w:rPr>
          <w:rFonts w:ascii="Arial" w:eastAsia="Arial" w:hAnsi="Arial" w:cs="Arial"/>
        </w:rPr>
      </w:pPr>
    </w:p>
    <w:p w14:paraId="00ADBD6D"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New twin tyres for the trailed </w:t>
      </w:r>
      <w:proofErr w:type="spellStart"/>
      <w:r>
        <w:rPr>
          <w:rFonts w:ascii="Arial" w:hAnsi="Arial"/>
          <w:b/>
        </w:rPr>
        <w:t>Precea</w:t>
      </w:r>
      <w:proofErr w:type="spellEnd"/>
    </w:p>
    <w:p w14:paraId="2448A51D"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For models with narrower row spacings of 45 cm and 50 cm, AMAZONE offers its trailed precision air </w:t>
      </w:r>
      <w:proofErr w:type="spellStart"/>
      <w:r>
        <w:rPr>
          <w:rFonts w:ascii="Arial" w:hAnsi="Arial"/>
        </w:rPr>
        <w:t>seeders</w:t>
      </w:r>
      <w:proofErr w:type="spellEnd"/>
      <w:r>
        <w:rPr>
          <w:rFonts w:ascii="Arial" w:hAnsi="Arial"/>
        </w:rPr>
        <w:t xml:space="preserve"> with twin tyres for the 2025 spring season.</w:t>
      </w:r>
    </w:p>
    <w:p w14:paraId="11F30AF4" w14:textId="77777777" w:rsidR="00CA3ABB" w:rsidRPr="00CA3ABB" w:rsidRDefault="00CA3ABB" w:rsidP="00CA3ABB">
      <w:pPr>
        <w:spacing w:after="120" w:line="360" w:lineRule="auto"/>
        <w:ind w:left="567" w:right="1695"/>
        <w:rPr>
          <w:rFonts w:ascii="Arial" w:eastAsia="Arial" w:hAnsi="Arial" w:cs="Arial"/>
        </w:rPr>
      </w:pPr>
    </w:p>
    <w:p w14:paraId="33F7E136" w14:textId="77777777" w:rsidR="00CA3ABB" w:rsidRPr="00CA3ABB" w:rsidRDefault="00CA3ABB" w:rsidP="00CA3ABB">
      <w:pPr>
        <w:spacing w:after="120" w:line="360" w:lineRule="auto"/>
        <w:ind w:left="567" w:right="1695"/>
        <w:rPr>
          <w:rFonts w:ascii="Arial" w:eastAsia="Arial" w:hAnsi="Arial" w:cs="Arial"/>
        </w:rPr>
      </w:pPr>
      <w:r>
        <w:rPr>
          <w:rFonts w:ascii="Arial" w:hAnsi="Arial"/>
        </w:rPr>
        <w:t>The twin tyres enable uniform sowing conditions for crops such as oil seed rape, beet and soya in closer row spacings. The 4 tyres, with a tyre size of 270/95 R44, run exactly between the seed rows. Reconsolidation of the soil in the seed row is thus avoided.</w:t>
      </w:r>
    </w:p>
    <w:p w14:paraId="4787970A" w14:textId="27A758AF" w:rsidR="004779AE" w:rsidRDefault="004779AE">
      <w:pPr>
        <w:rPr>
          <w:rFonts w:ascii="Arial" w:eastAsia="Arial" w:hAnsi="Arial" w:cs="Arial"/>
        </w:rPr>
      </w:pPr>
      <w:r>
        <w:rPr>
          <w:rFonts w:ascii="Arial" w:eastAsia="Arial" w:hAnsi="Arial" w:cs="Arial"/>
        </w:rPr>
        <w:br w:type="page"/>
      </w:r>
    </w:p>
    <w:p w14:paraId="37BA4897" w14:textId="77777777" w:rsidR="00CA3ABB" w:rsidRPr="00CA3ABB" w:rsidRDefault="00CA3ABB" w:rsidP="00CA3ABB">
      <w:pPr>
        <w:spacing w:after="120" w:line="360" w:lineRule="auto"/>
        <w:ind w:left="567" w:right="1695"/>
        <w:rPr>
          <w:rFonts w:ascii="Arial" w:eastAsia="Arial" w:hAnsi="Arial" w:cs="Arial"/>
        </w:rPr>
      </w:pPr>
      <w:proofErr w:type="spellStart"/>
      <w:r>
        <w:rPr>
          <w:rFonts w:ascii="Arial" w:hAnsi="Arial"/>
          <w:b/>
        </w:rPr>
        <w:lastRenderedPageBreak/>
        <w:t>FertiSpot</w:t>
      </w:r>
      <w:proofErr w:type="spellEnd"/>
      <w:r>
        <w:rPr>
          <w:rFonts w:ascii="Arial" w:hAnsi="Arial"/>
          <w:b/>
        </w:rPr>
        <w:t xml:space="preserve"> for the coupled fertiliser coulter</w:t>
      </w:r>
    </w:p>
    <w:p w14:paraId="007FA4F2" w14:textId="77777777" w:rsidR="00CA3ABB" w:rsidRPr="00CA3ABB" w:rsidRDefault="00CA3ABB" w:rsidP="00CA3ABB">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allows the fertiliser to be delivered both as a portion directly under the plant as well as a dose between the seeds. AMAZONE now offers the fertiliser dosing system for the coupled fertiliser coulter, and therefore also for the mounted </w:t>
      </w:r>
      <w:proofErr w:type="spellStart"/>
      <w:r>
        <w:rPr>
          <w:rFonts w:ascii="Arial" w:hAnsi="Arial"/>
        </w:rPr>
        <w:t>Precea</w:t>
      </w:r>
      <w:proofErr w:type="spellEnd"/>
      <w:r>
        <w:rPr>
          <w:rFonts w:ascii="Arial" w:hAnsi="Arial"/>
        </w:rPr>
        <w:t xml:space="preserve"> models.</w:t>
      </w:r>
    </w:p>
    <w:p w14:paraId="3BE79475" w14:textId="77777777" w:rsidR="00CA3ABB" w:rsidRPr="00CA3ABB" w:rsidRDefault="00CA3ABB" w:rsidP="00CA3ABB">
      <w:pPr>
        <w:spacing w:after="120" w:line="360" w:lineRule="auto"/>
        <w:ind w:left="567" w:right="1695"/>
        <w:rPr>
          <w:rFonts w:ascii="Arial" w:eastAsia="Arial" w:hAnsi="Arial" w:cs="Arial"/>
        </w:rPr>
      </w:pPr>
    </w:p>
    <w:p w14:paraId="3E371D5A" w14:textId="77777777" w:rsidR="00CA3ABB" w:rsidRPr="00CA3ABB" w:rsidRDefault="00CA3ABB" w:rsidP="00CA3ABB">
      <w:pPr>
        <w:spacing w:after="120" w:line="360" w:lineRule="auto"/>
        <w:ind w:left="567" w:right="1695"/>
        <w:rPr>
          <w:rFonts w:ascii="Arial" w:eastAsia="Arial" w:hAnsi="Arial" w:cs="Arial"/>
        </w:rPr>
      </w:pPr>
      <w:r>
        <w:rPr>
          <w:rFonts w:ascii="Arial" w:hAnsi="Arial"/>
        </w:rPr>
        <w:t>Thanks to the innovative fertiliser portioning system, up to 25 % of the usual amount of under-root fertiliser can be saved. At the same time, however, the yield remains consistent. The concentrated fertiliser application directly under the maize seed means that the fertiliser is fully available. This allows the rate to be reduced.</w:t>
      </w:r>
    </w:p>
    <w:p w14:paraId="636DEA9F" w14:textId="77777777" w:rsidR="00CA3ABB" w:rsidRPr="00CA3ABB" w:rsidRDefault="00CA3ABB" w:rsidP="00CA3ABB">
      <w:pPr>
        <w:spacing w:after="120" w:line="360" w:lineRule="auto"/>
        <w:ind w:left="567" w:right="1695"/>
        <w:rPr>
          <w:rFonts w:ascii="Arial" w:eastAsia="Arial" w:hAnsi="Arial" w:cs="Arial"/>
        </w:rPr>
      </w:pPr>
    </w:p>
    <w:p w14:paraId="0ACEC94E"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further developed the system so that the </w:t>
      </w:r>
      <w:proofErr w:type="spellStart"/>
      <w:r>
        <w:rPr>
          <w:rFonts w:ascii="Arial" w:hAnsi="Arial"/>
        </w:rPr>
        <w:t>FertiSpot</w:t>
      </w:r>
      <w:proofErr w:type="spellEnd"/>
      <w:r>
        <w:rPr>
          <w:rFonts w:ascii="Arial" w:hAnsi="Arial"/>
        </w:rPr>
        <w:t xml:space="preserve"> can also be used on other crops.</w:t>
      </w:r>
    </w:p>
    <w:p w14:paraId="3A0D6C42" w14:textId="77777777" w:rsidR="00CA3ABB" w:rsidRPr="00CA3ABB" w:rsidRDefault="00CA3ABB" w:rsidP="00CA3ABB">
      <w:pPr>
        <w:spacing w:after="120" w:line="360" w:lineRule="auto"/>
        <w:ind w:left="567" w:right="1695"/>
        <w:rPr>
          <w:rFonts w:ascii="Arial" w:eastAsia="Arial" w:hAnsi="Arial" w:cs="Arial"/>
        </w:rPr>
      </w:pPr>
    </w:p>
    <w:p w14:paraId="2FFEFF49" w14:textId="77777777" w:rsidR="00CA3ABB" w:rsidRPr="00CA3ABB" w:rsidRDefault="00CA3ABB" w:rsidP="00CA3ABB">
      <w:pPr>
        <w:spacing w:after="120" w:line="360" w:lineRule="auto"/>
        <w:ind w:left="567" w:right="1695"/>
        <w:rPr>
          <w:rFonts w:ascii="Arial" w:eastAsia="Arial" w:hAnsi="Arial" w:cs="Arial"/>
        </w:rPr>
      </w:pPr>
      <w:r>
        <w:rPr>
          <w:rFonts w:ascii="Arial" w:hAnsi="Arial"/>
        </w:rPr>
        <w:t>The system, which is integrated into the ISOBUS software, can be adjusted easily from the tractor cab. The driver can choose between spot mode, multi-spot mode and band application.</w:t>
      </w:r>
    </w:p>
    <w:p w14:paraId="64946F28" w14:textId="77777777" w:rsidR="00CA3ABB" w:rsidRPr="00CA3ABB" w:rsidRDefault="00CA3ABB" w:rsidP="00CA3ABB">
      <w:pPr>
        <w:spacing w:after="120" w:line="360" w:lineRule="auto"/>
        <w:ind w:left="567" w:right="1695"/>
        <w:rPr>
          <w:rFonts w:ascii="Arial" w:eastAsia="Arial" w:hAnsi="Arial" w:cs="Arial"/>
        </w:rPr>
      </w:pPr>
    </w:p>
    <w:p w14:paraId="2D7930FE" w14:textId="77777777" w:rsidR="00CA3ABB" w:rsidRPr="00CA3ABB" w:rsidRDefault="00CA3ABB" w:rsidP="00CA3ABB">
      <w:pPr>
        <w:spacing w:after="120" w:line="360" w:lineRule="auto"/>
        <w:ind w:left="567" w:right="1695"/>
        <w:rPr>
          <w:rFonts w:ascii="Arial" w:eastAsia="Arial" w:hAnsi="Arial" w:cs="Arial"/>
        </w:rPr>
      </w:pPr>
      <w:proofErr w:type="spellStart"/>
      <w:r>
        <w:rPr>
          <w:rFonts w:ascii="Arial" w:hAnsi="Arial"/>
          <w:b/>
        </w:rPr>
        <w:t>FertiSpot</w:t>
      </w:r>
      <w:proofErr w:type="spellEnd"/>
      <w:r>
        <w:rPr>
          <w:rFonts w:ascii="Arial" w:hAnsi="Arial"/>
          <w:b/>
        </w:rPr>
        <w:t xml:space="preserve"> - under the seed or between the seeds</w:t>
      </w:r>
    </w:p>
    <w:p w14:paraId="1D59437D"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For use in beet, the spot can be applied precisely between the seeds of the crop. This prevents the fine roots from being </w:t>
      </w:r>
      <w:proofErr w:type="spellStart"/>
      <w:r>
        <w:rPr>
          <w:rFonts w:ascii="Arial" w:hAnsi="Arial"/>
        </w:rPr>
        <w:t>sorched</w:t>
      </w:r>
      <w:proofErr w:type="spellEnd"/>
      <w:r>
        <w:rPr>
          <w:rFonts w:ascii="Arial" w:hAnsi="Arial"/>
        </w:rPr>
        <w:t xml:space="preserve">. </w:t>
      </w:r>
      <w:proofErr w:type="spellStart"/>
      <w:r>
        <w:rPr>
          <w:rFonts w:ascii="Arial" w:hAnsi="Arial"/>
        </w:rPr>
        <w:t>FertiSpot</w:t>
      </w:r>
      <w:proofErr w:type="spellEnd"/>
      <w:r>
        <w:rPr>
          <w:rFonts w:ascii="Arial" w:hAnsi="Arial"/>
        </w:rPr>
        <w:t xml:space="preserve"> is also suitable for use on oil seed rape. In the so-called </w:t>
      </w:r>
      <w:proofErr w:type="spellStart"/>
      <w:r>
        <w:rPr>
          <w:rFonts w:ascii="Arial" w:hAnsi="Arial"/>
        </w:rPr>
        <w:t>MultiSpot</w:t>
      </w:r>
      <w:proofErr w:type="spellEnd"/>
      <w:r>
        <w:rPr>
          <w:rFonts w:ascii="Arial" w:hAnsi="Arial"/>
        </w:rPr>
        <w:t xml:space="preserve"> application, many small doses of fertiliser are placed under the rape seed.</w:t>
      </w:r>
    </w:p>
    <w:p w14:paraId="047EC344" w14:textId="167AACDD" w:rsidR="004779AE" w:rsidRDefault="004779AE">
      <w:pPr>
        <w:rPr>
          <w:rFonts w:ascii="Arial" w:eastAsia="Arial" w:hAnsi="Arial" w:cs="Arial"/>
        </w:rPr>
      </w:pPr>
      <w:r>
        <w:rPr>
          <w:rFonts w:ascii="Arial" w:eastAsia="Arial" w:hAnsi="Arial" w:cs="Arial"/>
        </w:rPr>
        <w:br w:type="page"/>
      </w:r>
    </w:p>
    <w:p w14:paraId="0E15CBAB"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 xml:space="preserve">How </w:t>
      </w:r>
      <w:proofErr w:type="spellStart"/>
      <w:r>
        <w:rPr>
          <w:rFonts w:ascii="Arial" w:hAnsi="Arial"/>
          <w:b/>
        </w:rPr>
        <w:t>FertiSpot</w:t>
      </w:r>
      <w:proofErr w:type="spellEnd"/>
      <w:r>
        <w:rPr>
          <w:rFonts w:ascii="Arial" w:hAnsi="Arial"/>
          <w:b/>
        </w:rPr>
        <w:t xml:space="preserve"> works</w:t>
      </w:r>
    </w:p>
    <w:p w14:paraId="753308EE" w14:textId="65DBD41C" w:rsidR="00CA3ABB" w:rsidRPr="00CA3ABB" w:rsidRDefault="00CA3ABB" w:rsidP="00CA3ABB">
      <w:pPr>
        <w:spacing w:after="120" w:line="360" w:lineRule="auto"/>
        <w:ind w:left="567" w:right="1695"/>
        <w:rPr>
          <w:rFonts w:ascii="Arial" w:eastAsia="Arial" w:hAnsi="Arial" w:cs="Arial"/>
        </w:rPr>
      </w:pPr>
      <w:r>
        <w:rPr>
          <w:rFonts w:ascii="Arial" w:hAnsi="Arial"/>
          <w:b/>
        </w:rPr>
        <w:t>1.</w:t>
      </w:r>
      <w:r>
        <w:rPr>
          <w:rFonts w:ascii="Arial" w:hAnsi="Arial"/>
        </w:rPr>
        <w:t xml:space="preserve"> From the metering system, fertiliser continuously enters the top of the dosing chamber.</w:t>
      </w:r>
    </w:p>
    <w:p w14:paraId="41EA79F0" w14:textId="3D6531A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2. </w:t>
      </w:r>
      <w:r>
        <w:rPr>
          <w:rFonts w:ascii="Arial" w:hAnsi="Arial"/>
        </w:rPr>
        <w:t>The fast-rotating portioning rotor is driven by its own motor matched to the speed of the singling unit. The fertiliser granules in the portioning chamber are collected and amalgamated during one revolution of the portioning rotor. A consolidated fertiliser portion is produced.</w:t>
      </w:r>
    </w:p>
    <w:p w14:paraId="01A5979D" w14:textId="6E2EBAB1" w:rsidR="00F17946" w:rsidRDefault="00CA3ABB" w:rsidP="00CA3ABB">
      <w:pPr>
        <w:spacing w:after="120" w:line="360" w:lineRule="auto"/>
        <w:ind w:left="567" w:right="1695"/>
        <w:rPr>
          <w:rFonts w:ascii="Arial" w:eastAsia="Arial" w:hAnsi="Arial" w:cs="Arial"/>
        </w:rPr>
      </w:pPr>
      <w:r>
        <w:rPr>
          <w:rFonts w:ascii="Arial" w:hAnsi="Arial"/>
          <w:b/>
        </w:rPr>
        <w:t xml:space="preserve">3. </w:t>
      </w:r>
      <w:r>
        <w:rPr>
          <w:rFonts w:ascii="Arial" w:hAnsi="Arial"/>
        </w:rPr>
        <w:t>The fertiliser dose is placed precisely into the soil via the outlet of the dosing chamber via the conveying section, synchronously with the application of the seed.</w:t>
      </w:r>
    </w:p>
    <w:p w14:paraId="48DFFAA3" w14:textId="77777777" w:rsidR="00536576" w:rsidRDefault="00536576" w:rsidP="00536576">
      <w:pPr>
        <w:spacing w:after="120" w:line="360" w:lineRule="auto"/>
        <w:ind w:left="708" w:right="1695"/>
        <w:rPr>
          <w:rFonts w:ascii="Arial" w:eastAsia="Arial" w:hAnsi="Arial" w:cs="Arial"/>
        </w:rPr>
      </w:pPr>
      <w:r>
        <w:rPr>
          <w:rFonts w:ascii="Arial" w:hAnsi="Arial"/>
          <w:noProof/>
        </w:rPr>
        <w:drawing>
          <wp:inline distT="0" distB="0" distL="0" distR="0" wp14:anchorId="17CAD432" wp14:editId="348F37B6">
            <wp:extent cx="4064000" cy="2346317"/>
            <wp:effectExtent l="0" t="0" r="0" b="0"/>
            <wp:docPr id="1012704176" name="Grafik 16" descr="Ein Bild, das Rad, Reifen,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04176" name="Grafik 16" descr="Ein Bild, das Rad, Reifen, Spielzeug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8523"/>
                    <a:stretch>
                      <a:fillRect/>
                    </a:stretch>
                  </pic:blipFill>
                  <pic:spPr bwMode="auto">
                    <a:xfrm>
                      <a:off x="0" y="0"/>
                      <a:ext cx="4064400" cy="2346548"/>
                    </a:xfrm>
                    <a:prstGeom prst="rect">
                      <a:avLst/>
                    </a:prstGeom>
                    <a:ln>
                      <a:noFill/>
                    </a:ln>
                    <a:extLst>
                      <a:ext uri="{53640926-AAD7-44D8-BBD7-CCE9431645EC}">
                        <a14:shadowObscured xmlns:a14="http://schemas.microsoft.com/office/drawing/2010/main"/>
                      </a:ext>
                    </a:extLst>
                  </pic:spPr>
                </pic:pic>
              </a:graphicData>
            </a:graphic>
          </wp:inline>
        </w:drawing>
      </w:r>
    </w:p>
    <w:p w14:paraId="539F0D37" w14:textId="77777777" w:rsidR="00536576" w:rsidRPr="00B17B14" w:rsidRDefault="00536576" w:rsidP="00536576">
      <w:pPr>
        <w:spacing w:after="120" w:line="360" w:lineRule="auto"/>
        <w:ind w:left="708" w:right="1695"/>
        <w:rPr>
          <w:rFonts w:ascii="Arial" w:eastAsia="Arial" w:hAnsi="Arial" w:cs="Arial"/>
        </w:rPr>
      </w:pPr>
      <w:r>
        <w:rPr>
          <w:rFonts w:ascii="Arial" w:hAnsi="Arial"/>
        </w:rPr>
        <w:t xml:space="preserve">Illustration of </w:t>
      </w:r>
      <w:proofErr w:type="spellStart"/>
      <w:r>
        <w:rPr>
          <w:rFonts w:ascii="Arial" w:hAnsi="Arial"/>
        </w:rPr>
        <w:t>FerTeC</w:t>
      </w:r>
      <w:proofErr w:type="spellEnd"/>
      <w:r>
        <w:rPr>
          <w:rFonts w:ascii="Arial" w:hAnsi="Arial"/>
        </w:rPr>
        <w:t xml:space="preserve"> twin HD fertiliser coulter with coupled overload protection and </w:t>
      </w:r>
      <w:proofErr w:type="spellStart"/>
      <w:r>
        <w:rPr>
          <w:rFonts w:ascii="Arial" w:hAnsi="Arial"/>
        </w:rPr>
        <w:t>FertiSpot</w:t>
      </w:r>
      <w:proofErr w:type="spellEnd"/>
    </w:p>
    <w:p w14:paraId="195FF01F" w14:textId="528C8A3C" w:rsidR="004779AE" w:rsidRDefault="004779AE">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615EF01" w14:textId="2CB73AA8"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 xml:space="preserve">New </w:t>
      </w:r>
      <w:proofErr w:type="spellStart"/>
      <w:r>
        <w:rPr>
          <w:rFonts w:ascii="Arial" w:hAnsi="Arial"/>
        </w:rPr>
        <w:t>Precea</w:t>
      </w:r>
      <w:proofErr w:type="spellEnd"/>
      <w:r>
        <w:rPr>
          <w:rFonts w:ascii="Arial" w:hAnsi="Arial"/>
        </w:rPr>
        <w:t xml:space="preserve"> 7500-TCC in a working width of 7.5 metres for increased output</w:t>
      </w:r>
    </w:p>
    <w:p w14:paraId="327EC890" w14:textId="149A10DC"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 xml:space="preserve">Extension of equipment options to include star clearers, twin tyres and the </w:t>
      </w:r>
      <w:proofErr w:type="spellStart"/>
      <w:r>
        <w:rPr>
          <w:rFonts w:ascii="Arial" w:hAnsi="Arial"/>
        </w:rPr>
        <w:t>FertiSpot</w:t>
      </w:r>
      <w:proofErr w:type="spellEnd"/>
      <w:r>
        <w:rPr>
          <w:rFonts w:ascii="Arial" w:hAnsi="Arial"/>
        </w:rPr>
        <w:t xml:space="preserve"> system for optimised results</w:t>
      </w:r>
    </w:p>
    <w:p w14:paraId="0DFDE4DF" w14:textId="1D560BCE" w:rsidR="00F17946"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 xml:space="preserve">Efficient under-root fertilisation for precision seeding over large areas possible with the </w:t>
      </w:r>
      <w:proofErr w:type="spellStart"/>
      <w:r>
        <w:rPr>
          <w:rFonts w:ascii="Arial" w:hAnsi="Arial"/>
        </w:rPr>
        <w:t>FertiSpot</w:t>
      </w:r>
      <w:proofErr w:type="spellEnd"/>
      <w:r>
        <w:rPr>
          <w:rFonts w:ascii="Arial" w:hAnsi="Arial"/>
        </w:rPr>
        <w:t xml:space="preserve"> system on mounted precision </w:t>
      </w:r>
      <w:proofErr w:type="spellStart"/>
      <w:r>
        <w:rPr>
          <w:rFonts w:ascii="Arial" w:hAnsi="Arial"/>
        </w:rPr>
        <w:t>seeders</w:t>
      </w:r>
      <w:proofErr w:type="spellEnd"/>
    </w:p>
    <w:p w14:paraId="5E22CA05" w14:textId="77777777" w:rsidR="00F17946" w:rsidRDefault="00F17946" w:rsidP="00F17946">
      <w:pPr>
        <w:spacing w:after="120" w:line="360" w:lineRule="auto"/>
        <w:ind w:right="1695"/>
        <w:rPr>
          <w:rFonts w:ascii="Arial" w:eastAsia="Arial" w:hAnsi="Arial" w:cs="Arial"/>
        </w:rPr>
      </w:pPr>
    </w:p>
    <w:p w14:paraId="2A3F3D74" w14:textId="77777777" w:rsidR="00B17B14" w:rsidRDefault="00B17B14" w:rsidP="00F17946">
      <w:pPr>
        <w:spacing w:after="120" w:line="360" w:lineRule="auto"/>
        <w:ind w:right="1695"/>
        <w:rPr>
          <w:rFonts w:ascii="Arial" w:eastAsia="Arial" w:hAnsi="Arial" w:cs="Arial"/>
        </w:rPr>
      </w:pPr>
    </w:p>
    <w:p w14:paraId="4CD42E91" w14:textId="6EE3222D"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AA2F915" wp14:editId="720AEC10">
            <wp:extent cx="3477600" cy="2880000"/>
            <wp:effectExtent l="0" t="0" r="2540" b="3175"/>
            <wp:docPr id="1738763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6348" name="Grafik 1738763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5435FF" w14:textId="77777777" w:rsidR="00B17B14" w:rsidRDefault="00B17B14" w:rsidP="00B17B14">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7500-TCC with 10 </w:t>
      </w:r>
      <w:proofErr w:type="spellStart"/>
      <w:r>
        <w:rPr>
          <w:rFonts w:ascii="Arial" w:hAnsi="Arial"/>
        </w:rPr>
        <w:t>PreTeC</w:t>
      </w:r>
      <w:proofErr w:type="spellEnd"/>
      <w:r>
        <w:rPr>
          <w:rFonts w:ascii="Arial" w:hAnsi="Arial"/>
        </w:rPr>
        <w:t xml:space="preserve"> sowing units and in 7.5 m working width</w:t>
      </w:r>
    </w:p>
    <w:p w14:paraId="65C4A331" w14:textId="77777777" w:rsidR="00D01EBE" w:rsidRDefault="00D01EBE" w:rsidP="00B17B14">
      <w:pPr>
        <w:spacing w:after="120" w:line="360" w:lineRule="auto"/>
        <w:ind w:left="708" w:right="1695"/>
        <w:rPr>
          <w:rFonts w:ascii="Arial" w:eastAsia="Arial" w:hAnsi="Arial" w:cs="Arial"/>
        </w:rPr>
      </w:pPr>
    </w:p>
    <w:p w14:paraId="245C0C25" w14:textId="77777777" w:rsidR="00D01EBE" w:rsidRDefault="00D01EBE" w:rsidP="00B17B14">
      <w:pPr>
        <w:spacing w:after="120" w:line="360" w:lineRule="auto"/>
        <w:ind w:left="708" w:right="1695"/>
        <w:rPr>
          <w:rFonts w:ascii="Arial" w:eastAsia="Arial" w:hAnsi="Arial" w:cs="Arial"/>
        </w:rPr>
      </w:pPr>
    </w:p>
    <w:p w14:paraId="1DF49AB7" w14:textId="2D589FAE" w:rsidR="00D01EBE" w:rsidRDefault="00D01EBE"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BF2B05A" wp14:editId="546A98B8">
            <wp:extent cx="1440000" cy="1440000"/>
            <wp:effectExtent l="0" t="0" r="0" b="0"/>
            <wp:docPr id="949382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2618" name="Grafik 9493826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735764E" w14:textId="77777777" w:rsidR="00D01EBE" w:rsidRPr="004779AE" w:rsidRDefault="00D01EBE" w:rsidP="00D01EBE">
      <w:pPr>
        <w:spacing w:after="120" w:line="360" w:lineRule="auto"/>
        <w:ind w:left="708" w:right="1695"/>
        <w:rPr>
          <w:rFonts w:ascii="Arial" w:eastAsia="Arial" w:hAnsi="Arial" w:cs="Arial"/>
          <w:b/>
          <w:bCs/>
          <w:lang w:val="de-DE"/>
        </w:rPr>
      </w:pPr>
      <w:r w:rsidRPr="004779AE">
        <w:rPr>
          <w:rFonts w:ascii="Arial" w:hAnsi="Arial"/>
          <w:lang w:val="de-DE"/>
        </w:rPr>
        <w:t xml:space="preserve">Video: </w:t>
      </w:r>
      <w:r w:rsidRPr="004779AE">
        <w:rPr>
          <w:rFonts w:ascii="Arial" w:hAnsi="Arial"/>
          <w:lang w:val="de-DE"/>
        </w:rPr>
        <w:br/>
      </w:r>
      <w:r w:rsidRPr="004779AE">
        <w:rPr>
          <w:rFonts w:ascii="Arial" w:hAnsi="Arial"/>
          <w:b/>
          <w:lang w:val="de-DE"/>
        </w:rPr>
        <w:t xml:space="preserve">www.amazone.net/yt-Precea-7500-TCC </w:t>
      </w:r>
    </w:p>
    <w:p w14:paraId="2DC188AB" w14:textId="77777777" w:rsidR="00D01EBE" w:rsidRPr="004779AE" w:rsidRDefault="00D01EBE" w:rsidP="00B17B14">
      <w:pPr>
        <w:spacing w:after="120" w:line="360" w:lineRule="auto"/>
        <w:ind w:left="708" w:right="1695"/>
        <w:rPr>
          <w:rFonts w:ascii="Arial" w:eastAsia="Arial" w:hAnsi="Arial" w:cs="Arial"/>
          <w:lang w:val="de-DE"/>
        </w:rPr>
      </w:pPr>
    </w:p>
    <w:p w14:paraId="414F000D" w14:textId="77777777" w:rsidR="00B17B14" w:rsidRPr="004779AE" w:rsidRDefault="00B17B14" w:rsidP="00B17B14">
      <w:pPr>
        <w:spacing w:after="120" w:line="360" w:lineRule="auto"/>
        <w:ind w:left="708" w:right="1695"/>
        <w:rPr>
          <w:rFonts w:ascii="Arial" w:eastAsia="Arial" w:hAnsi="Arial" w:cs="Arial"/>
          <w:lang w:val="de-DE"/>
        </w:rPr>
      </w:pPr>
    </w:p>
    <w:p w14:paraId="767E4664" w14:textId="6E92B30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CEAD1A9" wp14:editId="04CE1BBE">
            <wp:extent cx="6120000" cy="2109600"/>
            <wp:effectExtent l="0" t="0" r="1905" b="0"/>
            <wp:docPr id="16422113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11366" name="Grafik 1642211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3FA867" w14:textId="77777777" w:rsidR="00B17B14" w:rsidRPr="00B17B14" w:rsidRDefault="00B17B14" w:rsidP="00B17B14">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-TCC with leading star clearers and twin tyres</w:t>
      </w:r>
    </w:p>
    <w:p w14:paraId="49E3B70D" w14:textId="77777777" w:rsidR="00B17B14" w:rsidRDefault="00B17B14" w:rsidP="00B17B14">
      <w:pPr>
        <w:spacing w:after="120" w:line="360" w:lineRule="auto"/>
        <w:ind w:left="708" w:right="1695"/>
        <w:rPr>
          <w:rFonts w:ascii="Arial" w:eastAsia="Arial" w:hAnsi="Arial" w:cs="Arial"/>
        </w:rPr>
      </w:pPr>
    </w:p>
    <w:p w14:paraId="73060CD1" w14:textId="77777777" w:rsidR="00B17B14" w:rsidRDefault="00B17B14" w:rsidP="00B17B14">
      <w:pPr>
        <w:spacing w:after="120" w:line="360" w:lineRule="auto"/>
        <w:ind w:left="708" w:right="1695"/>
        <w:rPr>
          <w:rFonts w:ascii="Arial" w:eastAsia="Arial" w:hAnsi="Arial" w:cs="Arial"/>
        </w:rPr>
      </w:pPr>
    </w:p>
    <w:p w14:paraId="4A012D94" w14:textId="143EAAE6"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432EE40A" wp14:editId="36195491">
            <wp:extent cx="4064400" cy="2880000"/>
            <wp:effectExtent l="0" t="0" r="0" b="3175"/>
            <wp:docPr id="126704518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45186" name="Grafik 1267045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31993F" w14:textId="77777777" w:rsidR="00B17B14" w:rsidRPr="00B17B14" w:rsidRDefault="00B17B14" w:rsidP="00B17B14">
      <w:pPr>
        <w:spacing w:after="120" w:line="360" w:lineRule="auto"/>
        <w:ind w:left="708" w:right="1695"/>
        <w:rPr>
          <w:rFonts w:ascii="Arial" w:eastAsia="Arial" w:hAnsi="Arial" w:cs="Arial"/>
        </w:rPr>
      </w:pPr>
      <w:r>
        <w:rPr>
          <w:rFonts w:ascii="Arial" w:hAnsi="Arial"/>
        </w:rPr>
        <w:t>Leading star clearer for a tidy, clean seed furrow</w:t>
      </w:r>
    </w:p>
    <w:p w14:paraId="32B8F733" w14:textId="77777777" w:rsidR="00B17B14" w:rsidRDefault="00B17B14" w:rsidP="00B17B14">
      <w:pPr>
        <w:spacing w:after="120" w:line="360" w:lineRule="auto"/>
        <w:ind w:left="708" w:right="1695"/>
        <w:rPr>
          <w:rFonts w:ascii="Arial" w:eastAsia="Arial" w:hAnsi="Arial" w:cs="Arial"/>
        </w:rPr>
      </w:pPr>
    </w:p>
    <w:p w14:paraId="34966353" w14:textId="77777777" w:rsidR="00B17B14" w:rsidRDefault="00B17B14" w:rsidP="00B17B14">
      <w:pPr>
        <w:spacing w:after="120" w:line="360" w:lineRule="auto"/>
        <w:ind w:left="708" w:right="1695"/>
        <w:rPr>
          <w:rFonts w:ascii="Arial" w:eastAsia="Arial" w:hAnsi="Arial" w:cs="Arial"/>
        </w:rPr>
      </w:pPr>
    </w:p>
    <w:p w14:paraId="5FA2E1A1" w14:textId="2466DB3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8F46616" wp14:editId="354513E7">
            <wp:extent cx="4064400" cy="2880000"/>
            <wp:effectExtent l="0" t="0" r="0" b="3175"/>
            <wp:docPr id="82088229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82290" name="Grafik 8208822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92311C" w14:textId="77777777" w:rsidR="00B17B14" w:rsidRPr="00B17B14" w:rsidRDefault="00B17B14" w:rsidP="00B17B14">
      <w:pPr>
        <w:spacing w:after="120" w:line="360" w:lineRule="auto"/>
        <w:ind w:left="708" w:right="1695"/>
        <w:rPr>
          <w:rFonts w:ascii="Arial" w:eastAsia="Arial" w:hAnsi="Arial" w:cs="Arial"/>
        </w:rPr>
      </w:pPr>
      <w:r>
        <w:rPr>
          <w:rFonts w:ascii="Arial" w:hAnsi="Arial"/>
        </w:rPr>
        <w:t xml:space="preserve">The leading star clearers can be </w:t>
      </w:r>
      <w:proofErr w:type="gramStart"/>
      <w:r>
        <w:rPr>
          <w:rFonts w:ascii="Arial" w:hAnsi="Arial"/>
        </w:rPr>
        <w:t>lifted up</w:t>
      </w:r>
      <w:proofErr w:type="gramEnd"/>
      <w:r>
        <w:rPr>
          <w:rFonts w:ascii="Arial" w:hAnsi="Arial"/>
        </w:rPr>
        <w:t xml:space="preserve"> pneumatically</w:t>
      </w:r>
    </w:p>
    <w:p w14:paraId="71E62765" w14:textId="77777777" w:rsidR="00B17B14" w:rsidRDefault="00B17B14" w:rsidP="00B17B14">
      <w:pPr>
        <w:spacing w:after="120" w:line="360" w:lineRule="auto"/>
        <w:ind w:left="708" w:right="1695"/>
        <w:rPr>
          <w:rFonts w:ascii="Arial" w:eastAsia="Arial" w:hAnsi="Arial" w:cs="Arial"/>
        </w:rPr>
      </w:pPr>
    </w:p>
    <w:p w14:paraId="37B29BBD" w14:textId="77777777" w:rsidR="00B17B14" w:rsidRDefault="00B17B14" w:rsidP="00B17B14">
      <w:pPr>
        <w:spacing w:after="120" w:line="360" w:lineRule="auto"/>
        <w:ind w:left="708" w:right="1695"/>
        <w:rPr>
          <w:rFonts w:ascii="Arial" w:eastAsia="Arial" w:hAnsi="Arial" w:cs="Arial"/>
        </w:rPr>
      </w:pPr>
    </w:p>
    <w:p w14:paraId="4F50D150" w14:textId="2795EEF9"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DFD7B35" wp14:editId="2492F81C">
            <wp:extent cx="4064400" cy="2880000"/>
            <wp:effectExtent l="0" t="0" r="0" b="3175"/>
            <wp:docPr id="202887205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2050" name="Grafik 20288720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ABDA8AB" w14:textId="77777777" w:rsidR="00B17B14" w:rsidRPr="00B17B14" w:rsidRDefault="00B17B14" w:rsidP="00B17B14">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in 12 rows and 50 cm row spacing - the twin tyres run between the sowing units</w:t>
      </w:r>
    </w:p>
    <w:p w14:paraId="2631E337" w14:textId="77777777" w:rsidR="00B17B14" w:rsidRDefault="00B17B14" w:rsidP="00B17B14">
      <w:pPr>
        <w:spacing w:after="120" w:line="360" w:lineRule="auto"/>
        <w:ind w:left="708" w:right="1695"/>
        <w:rPr>
          <w:rFonts w:ascii="Arial" w:eastAsia="Arial" w:hAnsi="Arial" w:cs="Arial"/>
        </w:rPr>
      </w:pPr>
    </w:p>
    <w:p w14:paraId="56100254" w14:textId="77777777" w:rsidR="00B17B14" w:rsidRDefault="00B17B14" w:rsidP="00B17B14">
      <w:pPr>
        <w:spacing w:after="120" w:line="360" w:lineRule="auto"/>
        <w:ind w:left="708" w:right="1695"/>
        <w:rPr>
          <w:rFonts w:ascii="Arial" w:eastAsia="Arial" w:hAnsi="Arial" w:cs="Arial"/>
        </w:rPr>
      </w:pPr>
    </w:p>
    <w:p w14:paraId="58719AF2" w14:textId="77B5654A"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4FBAF5D" wp14:editId="4FC3C615">
            <wp:extent cx="4064400" cy="2880000"/>
            <wp:effectExtent l="0" t="0" r="0" b="3175"/>
            <wp:docPr id="1371331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31886" name="Grafik 137133188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43901B" w14:textId="77777777" w:rsidR="00B17B14" w:rsidRPr="00B17B14" w:rsidRDefault="00B17B14" w:rsidP="00B17B14">
      <w:pPr>
        <w:spacing w:after="120" w:line="360" w:lineRule="auto"/>
        <w:ind w:left="708" w:right="1695"/>
        <w:rPr>
          <w:rFonts w:ascii="Arial" w:eastAsia="Arial" w:hAnsi="Arial" w:cs="Arial"/>
        </w:rPr>
      </w:pPr>
      <w:proofErr w:type="spellStart"/>
      <w:r>
        <w:rPr>
          <w:rFonts w:ascii="Arial" w:hAnsi="Arial"/>
        </w:rPr>
        <w:t>MultiSpot</w:t>
      </w:r>
      <w:proofErr w:type="spellEnd"/>
      <w:r>
        <w:rPr>
          <w:rFonts w:ascii="Arial" w:hAnsi="Arial"/>
        </w:rPr>
        <w:t>: the fertiliser is applied in many small doses, for example, in oil seed rape</w:t>
      </w:r>
    </w:p>
    <w:p w14:paraId="7DBD0D73" w14:textId="77777777" w:rsidR="00B17B14" w:rsidRDefault="00B17B14" w:rsidP="00B17B14">
      <w:pPr>
        <w:spacing w:after="120" w:line="360" w:lineRule="auto"/>
        <w:ind w:left="708" w:right="1695"/>
        <w:rPr>
          <w:rFonts w:ascii="Arial" w:eastAsia="Arial" w:hAnsi="Arial" w:cs="Arial"/>
        </w:rPr>
      </w:pPr>
    </w:p>
    <w:p w14:paraId="778712F3" w14:textId="77777777" w:rsidR="00B17B14" w:rsidRDefault="00B17B14" w:rsidP="00B17B14">
      <w:pPr>
        <w:spacing w:after="120" w:line="360" w:lineRule="auto"/>
        <w:ind w:left="708" w:right="1695"/>
        <w:rPr>
          <w:rFonts w:ascii="Arial" w:eastAsia="Arial" w:hAnsi="Arial" w:cs="Arial"/>
        </w:rPr>
      </w:pPr>
    </w:p>
    <w:p w14:paraId="41B6ACF2" w14:textId="77777777" w:rsidR="00DC74EC" w:rsidRPr="00F4316E" w:rsidRDefault="00DC74EC"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7"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7B9DA" w14:textId="77777777" w:rsidR="001648D3" w:rsidRDefault="001648D3">
      <w:r>
        <w:separator/>
      </w:r>
    </w:p>
  </w:endnote>
  <w:endnote w:type="continuationSeparator" w:id="0">
    <w:p w14:paraId="3CFBD28E" w14:textId="77777777" w:rsidR="001648D3" w:rsidRDefault="00164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4779AE" w:rsidRDefault="005E0980" w:rsidP="006F7755">
                          <w:pPr>
                            <w:spacing w:line="280" w:lineRule="exact"/>
                            <w:rPr>
                              <w:rFonts w:ascii="Arial" w:hAnsi="Arial"/>
                              <w:spacing w:val="2"/>
                              <w:sz w:val="20"/>
                              <w:lang w:val="de-DE"/>
                            </w:rPr>
                          </w:pPr>
                          <w:r w:rsidRPr="004779A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4779AE" w:rsidRDefault="005E0980" w:rsidP="006F7755">
                    <w:pPr>
                      <w:spacing w:line="280" w:lineRule="exact"/>
                      <w:rPr>
                        <w:rFonts w:ascii="Arial" w:hAnsi="Arial"/>
                        <w:spacing w:val="2"/>
                        <w:sz w:val="20"/>
                        <w:lang w:val="de-DE"/>
                      </w:rPr>
                    </w:pPr>
                    <w:r w:rsidRPr="004779A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1C0AB" w14:textId="77777777" w:rsidR="001648D3" w:rsidRDefault="001648D3">
      <w:r>
        <w:separator/>
      </w:r>
    </w:p>
  </w:footnote>
  <w:footnote w:type="continuationSeparator" w:id="0">
    <w:p w14:paraId="3DEE038A" w14:textId="77777777" w:rsidR="001648D3" w:rsidRDefault="001648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6"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3"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4"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4"/>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8"/>
  </w:num>
  <w:num w:numId="8" w16cid:durableId="33434184">
    <w:abstractNumId w:val="26"/>
  </w:num>
  <w:num w:numId="9" w16cid:durableId="274018629">
    <w:abstractNumId w:val="35"/>
  </w:num>
  <w:num w:numId="10" w16cid:durableId="1622229493">
    <w:abstractNumId w:val="37"/>
  </w:num>
  <w:num w:numId="11" w16cid:durableId="280575959">
    <w:abstractNumId w:val="30"/>
  </w:num>
  <w:num w:numId="12" w16cid:durableId="169492611">
    <w:abstractNumId w:val="40"/>
  </w:num>
  <w:num w:numId="13" w16cid:durableId="711804392">
    <w:abstractNumId w:val="42"/>
  </w:num>
  <w:num w:numId="14" w16cid:durableId="614945063">
    <w:abstractNumId w:val="4"/>
  </w:num>
  <w:num w:numId="15" w16cid:durableId="787310930">
    <w:abstractNumId w:val="23"/>
  </w:num>
  <w:num w:numId="16" w16cid:durableId="1954821959">
    <w:abstractNumId w:val="25"/>
  </w:num>
  <w:num w:numId="17" w16cid:durableId="1429236192">
    <w:abstractNumId w:val="3"/>
  </w:num>
  <w:num w:numId="18" w16cid:durableId="801196723">
    <w:abstractNumId w:val="44"/>
  </w:num>
  <w:num w:numId="19" w16cid:durableId="595864091">
    <w:abstractNumId w:val="14"/>
  </w:num>
  <w:num w:numId="20" w16cid:durableId="2085832550">
    <w:abstractNumId w:val="34"/>
  </w:num>
  <w:num w:numId="21" w16cid:durableId="1235970655">
    <w:abstractNumId w:val="0"/>
  </w:num>
  <w:num w:numId="22" w16cid:durableId="454446071">
    <w:abstractNumId w:val="13"/>
  </w:num>
  <w:num w:numId="23" w16cid:durableId="1538158893">
    <w:abstractNumId w:val="5"/>
  </w:num>
  <w:num w:numId="24" w16cid:durableId="1042562684">
    <w:abstractNumId w:val="39"/>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2"/>
  </w:num>
  <w:num w:numId="32" w16cid:durableId="2112696074">
    <w:abstractNumId w:val="27"/>
  </w:num>
  <w:num w:numId="33" w16cid:durableId="168763437">
    <w:abstractNumId w:val="9"/>
  </w:num>
  <w:num w:numId="34" w16cid:durableId="740366733">
    <w:abstractNumId w:val="36"/>
  </w:num>
  <w:num w:numId="35" w16cid:durableId="397358972">
    <w:abstractNumId w:val="19"/>
  </w:num>
  <w:num w:numId="36" w16cid:durableId="2060278956">
    <w:abstractNumId w:val="43"/>
  </w:num>
  <w:num w:numId="37" w16cid:durableId="1624076177">
    <w:abstractNumId w:val="33"/>
  </w:num>
  <w:num w:numId="38" w16cid:durableId="1617178793">
    <w:abstractNumId w:val="31"/>
  </w:num>
  <w:num w:numId="39" w16cid:durableId="1835024161">
    <w:abstractNumId w:val="15"/>
  </w:num>
  <w:num w:numId="40" w16cid:durableId="978071882">
    <w:abstractNumId w:val="7"/>
  </w:num>
  <w:num w:numId="41" w16cid:durableId="326906566">
    <w:abstractNumId w:val="28"/>
  </w:num>
  <w:num w:numId="42" w16cid:durableId="752749325">
    <w:abstractNumId w:val="21"/>
  </w:num>
  <w:num w:numId="43" w16cid:durableId="915671095">
    <w:abstractNumId w:val="29"/>
  </w:num>
  <w:num w:numId="44" w16cid:durableId="802966989">
    <w:abstractNumId w:val="41"/>
  </w:num>
  <w:num w:numId="45" w16cid:durableId="136159306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A5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48D3"/>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515"/>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E9"/>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24BA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1D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E8B"/>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779AE"/>
    <w:rsid w:val="00482C7E"/>
    <w:rsid w:val="004841F0"/>
    <w:rsid w:val="00484219"/>
    <w:rsid w:val="00484610"/>
    <w:rsid w:val="00490CF7"/>
    <w:rsid w:val="00490EDF"/>
    <w:rsid w:val="00491596"/>
    <w:rsid w:val="00493B3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365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3F5"/>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64F5"/>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9E5"/>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23"/>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17B1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1EB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E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116"/>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BC2"/>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C6A4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863</Words>
  <Characters>5444</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6295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2025-08-18T10:50:00Z</dcterms:created>
  <dcterms:modified xsi:type="dcterms:W3CDTF">2025-09-01T15:37:00Z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