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814F0B" w14:textId="77777777" w:rsidR="00CA3ABB" w:rsidRPr="00CA3ABB" w:rsidRDefault="00CA3ABB" w:rsidP="00CA3ABB">
      <w:pPr>
        <w:spacing w:line="360" w:lineRule="auto"/>
        <w:ind w:left="567" w:right="1695"/>
        <w:rPr>
          <w:rFonts w:ascii="Arial" w:hAnsi="Arial" w:cs="Arial"/>
          <w:b/>
          <w:bCs/>
          <w:sz w:val="28"/>
          <w:szCs w:val="28"/>
        </w:rPr>
      </w:pPr>
      <w:r>
        <w:rPr>
          <w:rFonts w:ascii="Arial" w:hAnsi="Arial"/>
          <w:b/>
          <w:sz w:val="28"/>
        </w:rPr>
        <w:t>Nueva sembradora monograno Precea 7500-TCC</w:t>
      </w:r>
    </w:p>
    <w:p w14:paraId="42E6C956" w14:textId="77777777" w:rsidR="00CA3ABB" w:rsidRPr="00CA3ABB" w:rsidRDefault="00CA3ABB" w:rsidP="00CA3ABB">
      <w:pPr>
        <w:spacing w:line="360" w:lineRule="auto"/>
        <w:ind w:left="567" w:right="1695"/>
        <w:rPr>
          <w:rFonts w:ascii="Arial" w:hAnsi="Arial" w:cs="Arial"/>
          <w:b/>
          <w:bCs/>
        </w:rPr>
      </w:pPr>
      <w:r>
        <w:rPr>
          <w:rFonts w:ascii="Arial" w:hAnsi="Arial"/>
          <w:b/>
        </w:rPr>
        <w:t>Equipamientos nuevos: separador en estrella situado delante, neumáticos dobles, FertiSpot</w:t>
      </w:r>
    </w:p>
    <w:p w14:paraId="77523A59" w14:textId="77777777" w:rsidR="00070765" w:rsidRDefault="00070765" w:rsidP="00330541">
      <w:pPr>
        <w:spacing w:line="360" w:lineRule="auto"/>
        <w:ind w:left="567" w:right="1695"/>
        <w:rPr>
          <w:rFonts w:ascii="Arial" w:hAnsi="Arial" w:cs="Arial"/>
        </w:rPr>
      </w:pPr>
    </w:p>
    <w:p w14:paraId="08EA2CC6" w14:textId="77777777" w:rsidR="00CA3ABB" w:rsidRPr="00CA3ABB" w:rsidRDefault="00CA3ABB" w:rsidP="00CA3ABB">
      <w:pPr>
        <w:spacing w:after="120" w:line="360" w:lineRule="auto"/>
        <w:ind w:left="567" w:right="1695"/>
        <w:rPr>
          <w:rFonts w:ascii="Arial" w:eastAsia="Arial" w:hAnsi="Arial" w:cs="Arial"/>
        </w:rPr>
      </w:pPr>
      <w:r>
        <w:rPr>
          <w:rFonts w:ascii="Arial" w:hAnsi="Arial"/>
        </w:rPr>
        <w:t>La sembradora monograno Precea 7500-TCC con un depósito de abono de 3000 litros y un ancho de trabajo de 7,5 m está disponible en 2 versiones diferentes, al igual que la Precea 6000-TCC con un ancho de trabajo de 6 m.</w:t>
      </w:r>
    </w:p>
    <w:p w14:paraId="1AC45F74" w14:textId="77777777" w:rsidR="00CA3ABB" w:rsidRPr="00CA3ABB" w:rsidRDefault="00CA3ABB" w:rsidP="00CA3ABB">
      <w:pPr>
        <w:spacing w:after="120" w:line="360" w:lineRule="auto"/>
        <w:ind w:left="567" w:right="1695"/>
        <w:rPr>
          <w:rFonts w:ascii="Arial" w:eastAsia="Arial" w:hAnsi="Arial" w:cs="Arial"/>
        </w:rPr>
      </w:pPr>
    </w:p>
    <w:p w14:paraId="7A8EAF77" w14:textId="77777777" w:rsidR="00CA3ABB" w:rsidRPr="00CA3ABB" w:rsidRDefault="00CA3ABB" w:rsidP="00CA3ABB">
      <w:pPr>
        <w:spacing w:after="120" w:line="360" w:lineRule="auto"/>
        <w:ind w:left="567" w:right="1695"/>
        <w:rPr>
          <w:rFonts w:ascii="Arial" w:eastAsia="Arial" w:hAnsi="Arial" w:cs="Arial"/>
          <w:b/>
          <w:bCs/>
        </w:rPr>
      </w:pPr>
      <w:r>
        <w:rPr>
          <w:rFonts w:ascii="Arial" w:hAnsi="Arial"/>
          <w:b/>
        </w:rPr>
        <w:t>Almacenamiento de semillas centralizado y descentralizado</w:t>
      </w:r>
    </w:p>
    <w:p w14:paraId="4EEE6FA0" w14:textId="77777777" w:rsidR="00CA3ABB" w:rsidRPr="00CA3ABB" w:rsidRDefault="00CA3ABB" w:rsidP="00CA3ABB">
      <w:pPr>
        <w:spacing w:after="120" w:line="360" w:lineRule="auto"/>
        <w:ind w:left="567" w:right="1695"/>
        <w:rPr>
          <w:rFonts w:ascii="Arial" w:eastAsia="Arial" w:hAnsi="Arial" w:cs="Arial"/>
        </w:rPr>
      </w:pPr>
      <w:r>
        <w:rPr>
          <w:rFonts w:ascii="Arial" w:hAnsi="Arial"/>
        </w:rPr>
        <w:t>La Precea con un depósito central de semillas con una capacidad de 850 litros y el sistema de suministro de semillas Central Seed Supply (CSS) almacena las semillas en una gran tolva y las suministra a las distintas unidades de siembra según sea necesario. El llenado centralizado mediante big bags y la gran capacidad del depósito convierten a la máquina en una potente herramienta para grandes explotaciones y contratistas en zonas de gran estructura.</w:t>
      </w:r>
    </w:p>
    <w:p w14:paraId="2C3D2FA8" w14:textId="77777777" w:rsidR="00CA3ABB" w:rsidRPr="00CA3ABB" w:rsidRDefault="00CA3ABB" w:rsidP="00CA3ABB">
      <w:pPr>
        <w:spacing w:after="120" w:line="360" w:lineRule="auto"/>
        <w:ind w:left="567" w:right="1695"/>
        <w:rPr>
          <w:rFonts w:ascii="Arial" w:eastAsia="Arial" w:hAnsi="Arial" w:cs="Arial"/>
        </w:rPr>
      </w:pPr>
    </w:p>
    <w:p w14:paraId="425A1467" w14:textId="77777777" w:rsidR="00CA3ABB" w:rsidRPr="00CA3ABB" w:rsidRDefault="00CA3ABB" w:rsidP="00CA3ABB">
      <w:pPr>
        <w:spacing w:after="120" w:line="360" w:lineRule="auto"/>
        <w:ind w:left="567" w:right="1695"/>
        <w:rPr>
          <w:rFonts w:ascii="Arial" w:eastAsia="Arial" w:hAnsi="Arial" w:cs="Arial"/>
        </w:rPr>
      </w:pPr>
      <w:r>
        <w:rPr>
          <w:rFonts w:ascii="Arial" w:hAnsi="Arial"/>
        </w:rPr>
        <w:t>AMAZONE también ofrece la Precea 7500-TCC con depósitos de semillas en las unidades de siembra individuales. La Precea, con sus depósitos de semillas de 70 litros, es ideal para superficies de estructura pequeña con cambios frecuentes de semillas o para establecer ensayos de variedades.</w:t>
      </w:r>
    </w:p>
    <w:p w14:paraId="14CD7B21" w14:textId="77777777" w:rsidR="00CA3ABB" w:rsidRPr="00CA3ABB" w:rsidRDefault="00CA3ABB" w:rsidP="00CA3ABB">
      <w:pPr>
        <w:spacing w:after="120" w:line="360" w:lineRule="auto"/>
        <w:ind w:left="567" w:right="1695"/>
        <w:rPr>
          <w:rFonts w:ascii="Arial" w:eastAsia="Arial" w:hAnsi="Arial" w:cs="Arial"/>
        </w:rPr>
      </w:pPr>
    </w:p>
    <w:p w14:paraId="29F94DF2" w14:textId="77777777" w:rsidR="00CA3ABB" w:rsidRPr="00CA3ABB" w:rsidRDefault="00CA3ABB" w:rsidP="00CA3ABB">
      <w:pPr>
        <w:spacing w:after="120" w:line="360" w:lineRule="auto"/>
        <w:ind w:left="567" w:right="1695"/>
        <w:rPr>
          <w:rFonts w:ascii="Arial" w:eastAsia="Arial" w:hAnsi="Arial" w:cs="Arial"/>
        </w:rPr>
      </w:pPr>
      <w:r>
        <w:rPr>
          <w:rFonts w:ascii="Arial" w:hAnsi="Arial"/>
        </w:rPr>
        <w:t xml:space="preserve">AMAZONE presenta ahora las sembradoras de maíz arrastradas con nuevas opciones de equipamiento. Para la temporada de primavera, las máquinas Precea pueden encargarse con los principales separadores en estrella situados delante. Este equipo disponible opcionalmente es una herramienta ideal para limpiar la zona de la reja de siembra de residuos de paja y depósitos de mantillo, especialmente en la siembra directa antierosiva. </w:t>
      </w:r>
    </w:p>
    <w:p w14:paraId="5C301627" w14:textId="688D5C40" w:rsidR="005A6BA9" w:rsidRDefault="005A6BA9">
      <w:pPr>
        <w:rPr>
          <w:rFonts w:ascii="Arial" w:eastAsia="Arial" w:hAnsi="Arial" w:cs="Arial"/>
        </w:rPr>
      </w:pPr>
      <w:r>
        <w:rPr>
          <w:rFonts w:ascii="Arial" w:eastAsia="Arial" w:hAnsi="Arial" w:cs="Arial"/>
        </w:rPr>
        <w:br w:type="page"/>
      </w:r>
    </w:p>
    <w:p w14:paraId="3BCEBCD2" w14:textId="77777777" w:rsidR="00CA3ABB" w:rsidRPr="00CA3ABB" w:rsidRDefault="00CA3ABB" w:rsidP="00CA3ABB">
      <w:pPr>
        <w:spacing w:after="120" w:line="360" w:lineRule="auto"/>
        <w:ind w:left="567" w:right="1695"/>
        <w:rPr>
          <w:rFonts w:ascii="Arial" w:eastAsia="Arial" w:hAnsi="Arial" w:cs="Arial"/>
          <w:b/>
          <w:bCs/>
        </w:rPr>
      </w:pPr>
      <w:r>
        <w:rPr>
          <w:rFonts w:ascii="Arial" w:hAnsi="Arial"/>
          <w:b/>
        </w:rPr>
        <w:lastRenderedPageBreak/>
        <w:t>Separadores en estrella situados delante con rodillos de guiado anchos</w:t>
      </w:r>
    </w:p>
    <w:p w14:paraId="052E984A" w14:textId="77777777" w:rsidR="00CA3ABB" w:rsidRPr="00CA3ABB" w:rsidRDefault="00CA3ABB" w:rsidP="00CA3ABB">
      <w:pPr>
        <w:spacing w:after="120" w:line="360" w:lineRule="auto"/>
        <w:ind w:left="567" w:right="1695"/>
        <w:rPr>
          <w:rFonts w:ascii="Arial" w:eastAsia="Arial" w:hAnsi="Arial" w:cs="Arial"/>
        </w:rPr>
      </w:pPr>
      <w:r>
        <w:rPr>
          <w:rFonts w:ascii="Arial" w:hAnsi="Arial"/>
        </w:rPr>
        <w:t>AMAZONE ofrece ahora los nuevos separadores en estrella situados delante como separadores en estrella ajustables manualmente o alternativamente con ajuste neumático, delante de las rejas para abono y semillas para que la materia orgánica no sea presionada en el horizonte de siembra. Esto optimiza el resultado del trabajo y crea un surco de siembra ideal. El separador en estrella limpia la superficie de forma fiable. Gracias a su peso propio y a los grandes y anchos rodillos de guiado, se guían limpiamente por el surco.</w:t>
      </w:r>
    </w:p>
    <w:p w14:paraId="6794F3BF" w14:textId="77777777" w:rsidR="00CA3ABB" w:rsidRPr="00CA3ABB" w:rsidRDefault="00CA3ABB" w:rsidP="00CA3ABB">
      <w:pPr>
        <w:spacing w:after="120" w:line="360" w:lineRule="auto"/>
        <w:ind w:left="567" w:right="1695"/>
        <w:rPr>
          <w:rFonts w:ascii="Arial" w:eastAsia="Arial" w:hAnsi="Arial" w:cs="Arial"/>
        </w:rPr>
      </w:pPr>
    </w:p>
    <w:p w14:paraId="5857CE50" w14:textId="77777777" w:rsidR="00CA3ABB" w:rsidRPr="00CA3ABB" w:rsidRDefault="00CA3ABB" w:rsidP="00CA3ABB">
      <w:pPr>
        <w:spacing w:after="120" w:line="360" w:lineRule="auto"/>
        <w:ind w:left="567" w:right="1695"/>
        <w:rPr>
          <w:rFonts w:ascii="Arial" w:eastAsia="Arial" w:hAnsi="Arial" w:cs="Arial"/>
        </w:rPr>
      </w:pPr>
      <w:r>
        <w:rPr>
          <w:rFonts w:ascii="Arial" w:hAnsi="Arial"/>
        </w:rPr>
        <w:t>En la versión manual, la altura de las herramientas de despeje se ajusta con la herramienta suministrada y puede bloquearse mediante la trama perforada.</w:t>
      </w:r>
    </w:p>
    <w:p w14:paraId="3B92AA6E" w14:textId="77777777" w:rsidR="00CA3ABB" w:rsidRPr="00CA3ABB" w:rsidRDefault="00CA3ABB" w:rsidP="00CA3ABB">
      <w:pPr>
        <w:spacing w:after="120" w:line="360" w:lineRule="auto"/>
        <w:ind w:left="567" w:right="1695"/>
        <w:rPr>
          <w:rFonts w:ascii="Arial" w:eastAsia="Arial" w:hAnsi="Arial" w:cs="Arial"/>
        </w:rPr>
      </w:pPr>
    </w:p>
    <w:p w14:paraId="04A10FDD" w14:textId="77777777" w:rsidR="00CA3ABB" w:rsidRPr="00CA3ABB" w:rsidRDefault="00CA3ABB" w:rsidP="00CA3ABB">
      <w:pPr>
        <w:spacing w:after="120" w:line="360" w:lineRule="auto"/>
        <w:ind w:left="567" w:right="1695"/>
        <w:rPr>
          <w:rFonts w:ascii="Arial" w:eastAsia="Arial" w:hAnsi="Arial" w:cs="Arial"/>
        </w:rPr>
      </w:pPr>
      <w:r>
        <w:rPr>
          <w:rFonts w:ascii="Arial" w:hAnsi="Arial"/>
        </w:rPr>
        <w:t>La versión neumática del separador en estrella se puede ajustar en altura en el centro de la máquina y también se puede desactivar. El peso propio y el cilindro de presión neumática garantizan una marcha suave a altas velocidades de desplazamiento.</w:t>
      </w:r>
    </w:p>
    <w:p w14:paraId="31EA32DB" w14:textId="77777777" w:rsidR="00CA3ABB" w:rsidRPr="00CA3ABB" w:rsidRDefault="00CA3ABB" w:rsidP="00CA3ABB">
      <w:pPr>
        <w:spacing w:after="120" w:line="360" w:lineRule="auto"/>
        <w:ind w:left="567" w:right="1695"/>
        <w:rPr>
          <w:rFonts w:ascii="Arial" w:eastAsia="Arial" w:hAnsi="Arial" w:cs="Arial"/>
        </w:rPr>
      </w:pPr>
    </w:p>
    <w:p w14:paraId="00ADBD6D" w14:textId="77777777" w:rsidR="00CA3ABB" w:rsidRPr="00CA3ABB" w:rsidRDefault="00CA3ABB" w:rsidP="00CA3ABB">
      <w:pPr>
        <w:spacing w:after="120" w:line="360" w:lineRule="auto"/>
        <w:ind w:left="567" w:right="1695"/>
        <w:rPr>
          <w:rFonts w:ascii="Arial" w:eastAsia="Arial" w:hAnsi="Arial" w:cs="Arial"/>
        </w:rPr>
      </w:pPr>
      <w:r>
        <w:rPr>
          <w:rFonts w:ascii="Arial" w:hAnsi="Arial"/>
          <w:b/>
        </w:rPr>
        <w:t>Nuevos neumáticos dobles para la Precea arrastrada</w:t>
      </w:r>
    </w:p>
    <w:p w14:paraId="2448A51D" w14:textId="77777777" w:rsidR="00CA3ABB" w:rsidRPr="00CA3ABB" w:rsidRDefault="00CA3ABB" w:rsidP="00CA3ABB">
      <w:pPr>
        <w:spacing w:after="120" w:line="360" w:lineRule="auto"/>
        <w:ind w:left="567" w:right="1695"/>
        <w:rPr>
          <w:rFonts w:ascii="Arial" w:eastAsia="Arial" w:hAnsi="Arial" w:cs="Arial"/>
        </w:rPr>
      </w:pPr>
      <w:r>
        <w:rPr>
          <w:rFonts w:ascii="Arial" w:hAnsi="Arial"/>
        </w:rPr>
        <w:t>Para las máquinas con distancias entre hileras más estrechas de 45 cm y 50 cm, AMAZONE ofrece sembradoras neumáticas de precisión arrastradas con neumáticos dobles para la temporada de primavera de 2025.</w:t>
      </w:r>
    </w:p>
    <w:p w14:paraId="11F30AF4" w14:textId="77777777" w:rsidR="00CA3ABB" w:rsidRPr="00CA3ABB" w:rsidRDefault="00CA3ABB" w:rsidP="00CA3ABB">
      <w:pPr>
        <w:spacing w:after="120" w:line="360" w:lineRule="auto"/>
        <w:ind w:left="567" w:right="1695"/>
        <w:rPr>
          <w:rFonts w:ascii="Arial" w:eastAsia="Arial" w:hAnsi="Arial" w:cs="Arial"/>
        </w:rPr>
      </w:pPr>
    </w:p>
    <w:p w14:paraId="33F7E136" w14:textId="77777777" w:rsidR="00CA3ABB" w:rsidRPr="00CA3ABB" w:rsidRDefault="00CA3ABB" w:rsidP="00CA3ABB">
      <w:pPr>
        <w:spacing w:after="120" w:line="360" w:lineRule="auto"/>
        <w:ind w:left="567" w:right="1695"/>
        <w:rPr>
          <w:rFonts w:ascii="Arial" w:eastAsia="Arial" w:hAnsi="Arial" w:cs="Arial"/>
        </w:rPr>
      </w:pPr>
      <w:r>
        <w:rPr>
          <w:rFonts w:ascii="Arial" w:hAnsi="Arial"/>
        </w:rPr>
        <w:t>Los neumáticos dobles permiten obtener proporciones de siembra uniformes para cultivos como colza, remolacha o soja a menor distancia entre hileras. Los 4 neumáticos con un tamaño de 270/95 R44 discurren exactamente entre las líneas de siembra. Se evita así la recompactación del suelo en la línea de siembra.</w:t>
      </w:r>
    </w:p>
    <w:p w14:paraId="4787970A" w14:textId="60E915E0" w:rsidR="005A6BA9" w:rsidRDefault="005A6BA9">
      <w:pPr>
        <w:rPr>
          <w:rFonts w:ascii="Arial" w:eastAsia="Arial" w:hAnsi="Arial" w:cs="Arial"/>
        </w:rPr>
      </w:pPr>
      <w:r>
        <w:rPr>
          <w:rFonts w:ascii="Arial" w:eastAsia="Arial" w:hAnsi="Arial" w:cs="Arial"/>
        </w:rPr>
        <w:br w:type="page"/>
      </w:r>
    </w:p>
    <w:p w14:paraId="37BA4897" w14:textId="77777777" w:rsidR="00CA3ABB" w:rsidRPr="00CA3ABB" w:rsidRDefault="00CA3ABB" w:rsidP="00CA3ABB">
      <w:pPr>
        <w:spacing w:after="120" w:line="360" w:lineRule="auto"/>
        <w:ind w:left="567" w:right="1695"/>
        <w:rPr>
          <w:rFonts w:ascii="Arial" w:eastAsia="Arial" w:hAnsi="Arial" w:cs="Arial"/>
        </w:rPr>
      </w:pPr>
      <w:r>
        <w:rPr>
          <w:rFonts w:ascii="Arial" w:hAnsi="Arial"/>
          <w:b/>
        </w:rPr>
        <w:lastRenderedPageBreak/>
        <w:t>FertiSpot para la reja para abono acoplada</w:t>
      </w:r>
    </w:p>
    <w:p w14:paraId="007FA4F2" w14:textId="77777777" w:rsidR="00CA3ABB" w:rsidRPr="00CA3ABB" w:rsidRDefault="00CA3ABB" w:rsidP="00CA3ABB">
      <w:pPr>
        <w:spacing w:after="120" w:line="360" w:lineRule="auto"/>
        <w:ind w:left="567" w:right="1695"/>
        <w:rPr>
          <w:rFonts w:ascii="Arial" w:eastAsia="Arial" w:hAnsi="Arial" w:cs="Arial"/>
        </w:rPr>
      </w:pPr>
      <w:r>
        <w:rPr>
          <w:rFonts w:ascii="Arial" w:hAnsi="Arial"/>
        </w:rPr>
        <w:t>Con FertiSpot, el abono puede colocarse como porción directamente debajo de la planta o colocarse, también en porciones, entre las semillas. AMAZONE ofrece ahora el sistema de porcionado de abono para la reja para abono acoplada y, por tanto, también para los tipos de producto Precea arrastrados.</w:t>
      </w:r>
    </w:p>
    <w:p w14:paraId="3BE79475" w14:textId="77777777" w:rsidR="00CA3ABB" w:rsidRPr="00CA3ABB" w:rsidRDefault="00CA3ABB" w:rsidP="00CA3ABB">
      <w:pPr>
        <w:spacing w:after="120" w:line="360" w:lineRule="auto"/>
        <w:ind w:left="567" w:right="1695"/>
        <w:rPr>
          <w:rFonts w:ascii="Arial" w:eastAsia="Arial" w:hAnsi="Arial" w:cs="Arial"/>
        </w:rPr>
      </w:pPr>
    </w:p>
    <w:p w14:paraId="3E371D5A" w14:textId="77777777" w:rsidR="00CA3ABB" w:rsidRPr="00CA3ABB" w:rsidRDefault="00CA3ABB" w:rsidP="00CA3ABB">
      <w:pPr>
        <w:spacing w:after="120" w:line="360" w:lineRule="auto"/>
        <w:ind w:left="567" w:right="1695"/>
        <w:rPr>
          <w:rFonts w:ascii="Arial" w:eastAsia="Arial" w:hAnsi="Arial" w:cs="Arial"/>
        </w:rPr>
      </w:pPr>
      <w:r>
        <w:rPr>
          <w:rFonts w:ascii="Arial" w:hAnsi="Arial"/>
        </w:rPr>
        <w:t>Gracias al innovador sistema de porcionado del abono, se puede reducir hasta un 25 % la cantidad habitual de fertilización bajo las raíces. Al mismo tiempo, sin embargo, los beneficios se mantienen estables. La aplicación concentrada de abono directamente bajo el grano de maíz significa que el abono está completamente disponible. Esto permite reducir la cantidad.</w:t>
      </w:r>
    </w:p>
    <w:p w14:paraId="636DEA9F" w14:textId="77777777" w:rsidR="00CA3ABB" w:rsidRPr="00CA3ABB" w:rsidRDefault="00CA3ABB" w:rsidP="00CA3ABB">
      <w:pPr>
        <w:spacing w:after="120" w:line="360" w:lineRule="auto"/>
        <w:ind w:left="567" w:right="1695"/>
        <w:rPr>
          <w:rFonts w:ascii="Arial" w:eastAsia="Arial" w:hAnsi="Arial" w:cs="Arial"/>
        </w:rPr>
      </w:pPr>
    </w:p>
    <w:p w14:paraId="0ACEC94E" w14:textId="77777777" w:rsidR="00CA3ABB" w:rsidRPr="00CA3ABB" w:rsidRDefault="00CA3ABB" w:rsidP="00CA3ABB">
      <w:pPr>
        <w:spacing w:after="120" w:line="360" w:lineRule="auto"/>
        <w:ind w:left="567" w:right="1695"/>
        <w:rPr>
          <w:rFonts w:ascii="Arial" w:eastAsia="Arial" w:hAnsi="Arial" w:cs="Arial"/>
        </w:rPr>
      </w:pPr>
      <w:r>
        <w:rPr>
          <w:rFonts w:ascii="Arial" w:hAnsi="Arial"/>
        </w:rPr>
        <w:t>AMAZONE ha perfeccionado el sistema para que FertiSpot pueda utilizarse también en otros cultivos.</w:t>
      </w:r>
    </w:p>
    <w:p w14:paraId="3A0D6C42" w14:textId="77777777" w:rsidR="00CA3ABB" w:rsidRPr="00CA3ABB" w:rsidRDefault="00CA3ABB" w:rsidP="00CA3ABB">
      <w:pPr>
        <w:spacing w:after="120" w:line="360" w:lineRule="auto"/>
        <w:ind w:left="567" w:right="1695"/>
        <w:rPr>
          <w:rFonts w:ascii="Arial" w:eastAsia="Arial" w:hAnsi="Arial" w:cs="Arial"/>
        </w:rPr>
      </w:pPr>
    </w:p>
    <w:p w14:paraId="2FFEFF49" w14:textId="77777777" w:rsidR="00CA3ABB" w:rsidRPr="00CA3ABB" w:rsidRDefault="00CA3ABB" w:rsidP="00CA3ABB">
      <w:pPr>
        <w:spacing w:after="120" w:line="360" w:lineRule="auto"/>
        <w:ind w:left="567" w:right="1695"/>
        <w:rPr>
          <w:rFonts w:ascii="Arial" w:eastAsia="Arial" w:hAnsi="Arial" w:cs="Arial"/>
        </w:rPr>
      </w:pPr>
      <w:r>
        <w:rPr>
          <w:rFonts w:ascii="Arial" w:hAnsi="Arial"/>
        </w:rPr>
        <w:t>El sistema, integrado en el software ISOBUS, puede ajustarse fácilmente desde la cabina del tractor. El conductor puede elegir entre el modo puntual, el modo multipunto o la aplicación en banda.</w:t>
      </w:r>
    </w:p>
    <w:p w14:paraId="64946F28" w14:textId="77777777" w:rsidR="00CA3ABB" w:rsidRPr="00CA3ABB" w:rsidRDefault="00CA3ABB" w:rsidP="00CA3ABB">
      <w:pPr>
        <w:spacing w:after="120" w:line="360" w:lineRule="auto"/>
        <w:ind w:left="567" w:right="1695"/>
        <w:rPr>
          <w:rFonts w:ascii="Arial" w:eastAsia="Arial" w:hAnsi="Arial" w:cs="Arial"/>
        </w:rPr>
      </w:pPr>
    </w:p>
    <w:p w14:paraId="2D7930FE" w14:textId="77777777" w:rsidR="00CA3ABB" w:rsidRPr="00CA3ABB" w:rsidRDefault="00CA3ABB" w:rsidP="00CA3ABB">
      <w:pPr>
        <w:spacing w:after="120" w:line="360" w:lineRule="auto"/>
        <w:ind w:left="567" w:right="1695"/>
        <w:rPr>
          <w:rFonts w:ascii="Arial" w:eastAsia="Arial" w:hAnsi="Arial" w:cs="Arial"/>
        </w:rPr>
      </w:pPr>
      <w:r>
        <w:rPr>
          <w:rFonts w:ascii="Arial" w:hAnsi="Arial"/>
          <w:b/>
        </w:rPr>
        <w:t>FertiSpot: bajo la semilla o entre las semillas</w:t>
      </w:r>
    </w:p>
    <w:p w14:paraId="1D59437D" w14:textId="77777777" w:rsidR="00CA3ABB" w:rsidRPr="00CA3ABB" w:rsidRDefault="00CA3ABB" w:rsidP="00CA3ABB">
      <w:pPr>
        <w:spacing w:after="120" w:line="360" w:lineRule="auto"/>
        <w:ind w:left="567" w:right="1695"/>
        <w:rPr>
          <w:rFonts w:ascii="Arial" w:eastAsia="Arial" w:hAnsi="Arial" w:cs="Arial"/>
        </w:rPr>
      </w:pPr>
      <w:r>
        <w:rPr>
          <w:rFonts w:ascii="Arial" w:hAnsi="Arial"/>
        </w:rPr>
        <w:t>Para su uso en remolacha, el punto puede aplicarse con precisión entre las semillas de los cultivos. Así se evita que se quemen las raíces finas. FertiSpot también puede utilizarse en la colza. En el denominado proceso MultiSpot, se colocan muchos paquetes pequeños de abono debajo de la colza.</w:t>
      </w:r>
    </w:p>
    <w:p w14:paraId="047EC344" w14:textId="39B49958" w:rsidR="005A6BA9" w:rsidRDefault="005A6BA9">
      <w:pPr>
        <w:rPr>
          <w:rFonts w:ascii="Arial" w:eastAsia="Arial" w:hAnsi="Arial" w:cs="Arial"/>
        </w:rPr>
      </w:pPr>
      <w:r>
        <w:rPr>
          <w:rFonts w:ascii="Arial" w:eastAsia="Arial" w:hAnsi="Arial" w:cs="Arial"/>
        </w:rPr>
        <w:br w:type="page"/>
      </w:r>
    </w:p>
    <w:p w14:paraId="0E15CBAB" w14:textId="77777777" w:rsidR="00CA3ABB" w:rsidRPr="00CA3ABB" w:rsidRDefault="00CA3ABB" w:rsidP="00CA3ABB">
      <w:pPr>
        <w:spacing w:after="120" w:line="360" w:lineRule="auto"/>
        <w:ind w:left="567" w:right="1695"/>
        <w:rPr>
          <w:rFonts w:ascii="Arial" w:eastAsia="Arial" w:hAnsi="Arial" w:cs="Arial"/>
          <w:b/>
          <w:bCs/>
        </w:rPr>
      </w:pPr>
      <w:r>
        <w:rPr>
          <w:rFonts w:ascii="Arial" w:hAnsi="Arial"/>
          <w:b/>
        </w:rPr>
        <w:lastRenderedPageBreak/>
        <w:t>Funcionamiento de FertiSpot</w:t>
      </w:r>
    </w:p>
    <w:p w14:paraId="753308EE" w14:textId="65DBD41C" w:rsidR="00CA3ABB" w:rsidRPr="00CA3ABB" w:rsidRDefault="00CA3ABB" w:rsidP="00CA3ABB">
      <w:pPr>
        <w:spacing w:after="120" w:line="360" w:lineRule="auto"/>
        <w:ind w:left="567" w:right="1695"/>
        <w:rPr>
          <w:rFonts w:ascii="Arial" w:eastAsia="Arial" w:hAnsi="Arial" w:cs="Arial"/>
        </w:rPr>
      </w:pPr>
      <w:r>
        <w:rPr>
          <w:rFonts w:ascii="Arial" w:hAnsi="Arial"/>
          <w:b/>
        </w:rPr>
        <w:t>1.</w:t>
      </w:r>
      <w:r>
        <w:rPr>
          <w:rFonts w:ascii="Arial" w:hAnsi="Arial"/>
        </w:rPr>
        <w:t xml:space="preserve"> El abono sale del dosificador de forma continua desde arriba y entra en la cámara del porcionador.</w:t>
      </w:r>
    </w:p>
    <w:p w14:paraId="41EA79F0" w14:textId="3D6531A7" w:rsidR="00CA3ABB" w:rsidRPr="00CA3ABB" w:rsidRDefault="00CA3ABB" w:rsidP="00CA3ABB">
      <w:pPr>
        <w:spacing w:after="120" w:line="360" w:lineRule="auto"/>
        <w:ind w:left="567" w:right="1695"/>
        <w:rPr>
          <w:rFonts w:ascii="Arial" w:eastAsia="Arial" w:hAnsi="Arial" w:cs="Arial"/>
        </w:rPr>
      </w:pPr>
      <w:r>
        <w:rPr>
          <w:rFonts w:ascii="Arial" w:hAnsi="Arial"/>
          <w:b/>
        </w:rPr>
        <w:t xml:space="preserve">2. </w:t>
      </w:r>
      <w:r>
        <w:rPr>
          <w:rFonts w:ascii="Arial" w:hAnsi="Arial"/>
        </w:rPr>
        <w:t>La aleta del porcionador de alta velocidad se acciona por su propio motor eléctrico conforme a la frecuencia de giro de la separación. Los granos de abono de la cámara del porcionador se recogen y se juntan durante un giro de la aleta del dosificador. De este modo se forma una porción de abono compacta.</w:t>
      </w:r>
    </w:p>
    <w:p w14:paraId="01A5979D" w14:textId="6E2EBAB1" w:rsidR="00F17946" w:rsidRDefault="00CA3ABB" w:rsidP="00CA3ABB">
      <w:pPr>
        <w:spacing w:after="120" w:line="360" w:lineRule="auto"/>
        <w:ind w:left="567" w:right="1695"/>
        <w:rPr>
          <w:rFonts w:ascii="Arial" w:eastAsia="Arial" w:hAnsi="Arial" w:cs="Arial"/>
        </w:rPr>
      </w:pPr>
      <w:r>
        <w:rPr>
          <w:rFonts w:ascii="Arial" w:hAnsi="Arial"/>
          <w:b/>
        </w:rPr>
        <w:t xml:space="preserve">3. </w:t>
      </w:r>
      <w:r>
        <w:rPr>
          <w:rFonts w:ascii="Arial" w:hAnsi="Arial"/>
        </w:rPr>
        <w:t>La porción de abono se coloca con precisión en el suelo a través del tramo de lanzamiento por medio de la salida de la cámara del porcionador, de manera sincrónica con la colocación de las semillas.</w:t>
      </w:r>
    </w:p>
    <w:p w14:paraId="48DFFAA3" w14:textId="77777777" w:rsidR="00536576" w:rsidRDefault="00536576" w:rsidP="00536576">
      <w:pPr>
        <w:spacing w:after="120" w:line="360" w:lineRule="auto"/>
        <w:ind w:left="708" w:right="1695"/>
        <w:rPr>
          <w:rFonts w:ascii="Arial" w:eastAsia="Arial" w:hAnsi="Arial" w:cs="Arial"/>
        </w:rPr>
      </w:pPr>
      <w:r>
        <w:rPr>
          <w:rFonts w:ascii="Arial" w:hAnsi="Arial"/>
          <w:noProof/>
        </w:rPr>
        <w:drawing>
          <wp:inline distT="0" distB="0" distL="0" distR="0" wp14:anchorId="17CAD432" wp14:editId="348F37B6">
            <wp:extent cx="4064000" cy="2346317"/>
            <wp:effectExtent l="0" t="0" r="0" b="0"/>
            <wp:docPr id="1012704176" name="Grafik 16" descr="Ein Bild, das Rad, Reifen, Spielzeu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704176" name="Grafik 16" descr="Ein Bild, das Rad, Reifen, Spielzeug enthält.&#10;&#10;KI-generierte Inhalte können fehlerhaft sein."/>
                    <pic:cNvPicPr/>
                  </pic:nvPicPr>
                  <pic:blipFill rotWithShape="1">
                    <a:blip r:embed="rId8" cstate="print">
                      <a:extLst>
                        <a:ext uri="{28A0092B-C50C-407E-A947-70E740481C1C}">
                          <a14:useLocalDpi xmlns:a14="http://schemas.microsoft.com/office/drawing/2010/main" val="0"/>
                        </a:ext>
                      </a:extLst>
                    </a:blip>
                    <a:srcRect t="18523"/>
                    <a:stretch>
                      <a:fillRect/>
                    </a:stretch>
                  </pic:blipFill>
                  <pic:spPr bwMode="auto">
                    <a:xfrm>
                      <a:off x="0" y="0"/>
                      <a:ext cx="4064400" cy="2346548"/>
                    </a:xfrm>
                    <a:prstGeom prst="rect">
                      <a:avLst/>
                    </a:prstGeom>
                    <a:ln>
                      <a:noFill/>
                    </a:ln>
                    <a:extLst>
                      <a:ext uri="{53640926-AAD7-44D8-BBD7-CCE9431645EC}">
                        <a14:shadowObscured xmlns:a14="http://schemas.microsoft.com/office/drawing/2010/main"/>
                      </a:ext>
                    </a:extLst>
                  </pic:spPr>
                </pic:pic>
              </a:graphicData>
            </a:graphic>
          </wp:inline>
        </w:drawing>
      </w:r>
    </w:p>
    <w:p w14:paraId="539F0D37" w14:textId="77777777" w:rsidR="00536576" w:rsidRPr="00B17B14" w:rsidRDefault="00536576" w:rsidP="00536576">
      <w:pPr>
        <w:spacing w:after="120" w:line="360" w:lineRule="auto"/>
        <w:ind w:left="708" w:right="1695"/>
        <w:rPr>
          <w:rFonts w:ascii="Arial" w:eastAsia="Arial" w:hAnsi="Arial" w:cs="Arial"/>
        </w:rPr>
      </w:pPr>
      <w:r>
        <w:rPr>
          <w:rFonts w:ascii="Arial" w:hAnsi="Arial"/>
        </w:rPr>
        <w:t>Representación de la reja para abono FerTeC twin HD con seguro de sobrecarga acoplado y equipo FertiSpot</w:t>
      </w:r>
    </w:p>
    <w:p w14:paraId="195FF01F" w14:textId="1CE04F8E" w:rsidR="005A6BA9" w:rsidRDefault="005A6BA9">
      <w:pPr>
        <w:rPr>
          <w:rFonts w:ascii="Arial" w:eastAsia="Arial" w:hAnsi="Arial" w:cs="Arial"/>
        </w:rPr>
      </w:pPr>
      <w:r>
        <w:rPr>
          <w:rFonts w:ascii="Arial" w:eastAsia="Arial" w:hAnsi="Arial" w:cs="Arial"/>
        </w:rPr>
        <w:br w:type="page"/>
      </w: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9"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2615EF01" w14:textId="2CB73AA8" w:rsidR="00CA3ABB" w:rsidRPr="00CA3ABB" w:rsidRDefault="00CA3ABB" w:rsidP="00CA3ABB">
      <w:pPr>
        <w:pStyle w:val="Listenabsatz"/>
        <w:numPr>
          <w:ilvl w:val="0"/>
          <w:numId w:val="45"/>
        </w:numPr>
        <w:spacing w:after="120" w:line="360" w:lineRule="auto"/>
        <w:ind w:right="1695"/>
        <w:rPr>
          <w:rFonts w:ascii="Arial" w:eastAsia="Arial" w:hAnsi="Arial" w:cs="Arial"/>
        </w:rPr>
      </w:pPr>
      <w:r>
        <w:rPr>
          <w:rFonts w:ascii="Arial" w:hAnsi="Arial"/>
        </w:rPr>
        <w:t>Nueva Precea 7500-TCC con un ancho de trabajo de 7,5 m para un mayor rendimiento</w:t>
      </w:r>
    </w:p>
    <w:p w14:paraId="327EC890" w14:textId="149A10DC" w:rsidR="00CA3ABB" w:rsidRPr="00CA3ABB" w:rsidRDefault="00CA3ABB" w:rsidP="00CA3ABB">
      <w:pPr>
        <w:pStyle w:val="Listenabsatz"/>
        <w:numPr>
          <w:ilvl w:val="0"/>
          <w:numId w:val="45"/>
        </w:numPr>
        <w:spacing w:after="120" w:line="360" w:lineRule="auto"/>
        <w:ind w:right="1695"/>
        <w:rPr>
          <w:rFonts w:ascii="Arial" w:eastAsia="Arial" w:hAnsi="Arial" w:cs="Arial"/>
        </w:rPr>
      </w:pPr>
      <w:r>
        <w:rPr>
          <w:rFonts w:ascii="Arial" w:hAnsi="Arial"/>
        </w:rPr>
        <w:t>Ampliación de las opciones de equipamiento con separador en estrella, neumáticos dobles y sistema FertiSpot para optimizar los resultados del trabajo</w:t>
      </w:r>
    </w:p>
    <w:p w14:paraId="0DFDE4DF" w14:textId="1D560BCE" w:rsidR="00F17946" w:rsidRPr="00CA3ABB" w:rsidRDefault="00CA3ABB" w:rsidP="00CA3ABB">
      <w:pPr>
        <w:pStyle w:val="Listenabsatz"/>
        <w:numPr>
          <w:ilvl w:val="0"/>
          <w:numId w:val="45"/>
        </w:numPr>
        <w:spacing w:after="120" w:line="360" w:lineRule="auto"/>
        <w:ind w:right="1695"/>
        <w:rPr>
          <w:rFonts w:ascii="Arial" w:eastAsia="Arial" w:hAnsi="Arial" w:cs="Arial"/>
        </w:rPr>
      </w:pPr>
      <w:r>
        <w:rPr>
          <w:rFonts w:ascii="Arial" w:hAnsi="Arial"/>
        </w:rPr>
        <w:t>Posibilidad de fertilización bajo las raíces eficaz para la siembra de precisión de grandes superficies con el sistema FertiSpot de las sembradoras monograno arrastradas</w:t>
      </w:r>
    </w:p>
    <w:p w14:paraId="5E22CA05" w14:textId="77777777" w:rsidR="00F17946" w:rsidRDefault="00F17946" w:rsidP="00F17946">
      <w:pPr>
        <w:spacing w:after="120" w:line="360" w:lineRule="auto"/>
        <w:ind w:right="1695"/>
        <w:rPr>
          <w:rFonts w:ascii="Arial" w:eastAsia="Arial" w:hAnsi="Arial" w:cs="Arial"/>
        </w:rPr>
      </w:pPr>
    </w:p>
    <w:p w14:paraId="2A3F3D74" w14:textId="77777777" w:rsidR="00B17B14" w:rsidRDefault="00B17B14" w:rsidP="00F17946">
      <w:pPr>
        <w:spacing w:after="120" w:line="360" w:lineRule="auto"/>
        <w:ind w:right="1695"/>
        <w:rPr>
          <w:rFonts w:ascii="Arial" w:eastAsia="Arial" w:hAnsi="Arial" w:cs="Arial"/>
        </w:rPr>
      </w:pPr>
    </w:p>
    <w:p w14:paraId="4CD42E91" w14:textId="6EE3222D" w:rsidR="00B17B14" w:rsidRDefault="00B17B14" w:rsidP="00B17B14">
      <w:pPr>
        <w:spacing w:after="120" w:line="360" w:lineRule="auto"/>
        <w:ind w:left="708" w:right="1695"/>
        <w:rPr>
          <w:rFonts w:ascii="Arial" w:eastAsia="Arial" w:hAnsi="Arial" w:cs="Arial"/>
        </w:rPr>
      </w:pPr>
      <w:r>
        <w:rPr>
          <w:rFonts w:ascii="Arial" w:hAnsi="Arial"/>
          <w:noProof/>
        </w:rPr>
        <w:drawing>
          <wp:inline distT="0" distB="0" distL="0" distR="0" wp14:anchorId="1AA2F915" wp14:editId="720AEC10">
            <wp:extent cx="3477600" cy="2880000"/>
            <wp:effectExtent l="0" t="0" r="2540" b="3175"/>
            <wp:docPr id="173876348"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876348" name="Grafik 17387634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1F5435FF" w14:textId="77777777" w:rsidR="00B17B14" w:rsidRDefault="00B17B14" w:rsidP="00B17B14">
      <w:pPr>
        <w:spacing w:after="120" w:line="360" w:lineRule="auto"/>
        <w:ind w:left="708" w:right="1695"/>
        <w:rPr>
          <w:rFonts w:ascii="Arial" w:eastAsia="Arial" w:hAnsi="Arial" w:cs="Arial"/>
        </w:rPr>
      </w:pPr>
      <w:r>
        <w:rPr>
          <w:rFonts w:ascii="Arial" w:hAnsi="Arial"/>
        </w:rPr>
        <w:t>Precea 7500-TCC con 10 rejas PreTeC y 7,5 m de ancho de trabajo</w:t>
      </w:r>
    </w:p>
    <w:p w14:paraId="65C4A331" w14:textId="77777777" w:rsidR="00D01EBE" w:rsidRDefault="00D01EBE" w:rsidP="00B17B14">
      <w:pPr>
        <w:spacing w:after="120" w:line="360" w:lineRule="auto"/>
        <w:ind w:left="708" w:right="1695"/>
        <w:rPr>
          <w:rFonts w:ascii="Arial" w:eastAsia="Arial" w:hAnsi="Arial" w:cs="Arial"/>
        </w:rPr>
      </w:pPr>
    </w:p>
    <w:p w14:paraId="245C0C25" w14:textId="77777777" w:rsidR="00D01EBE" w:rsidRDefault="00D01EBE" w:rsidP="00B17B14">
      <w:pPr>
        <w:spacing w:after="120" w:line="360" w:lineRule="auto"/>
        <w:ind w:left="708" w:right="1695"/>
        <w:rPr>
          <w:rFonts w:ascii="Arial" w:eastAsia="Arial" w:hAnsi="Arial" w:cs="Arial"/>
        </w:rPr>
      </w:pPr>
    </w:p>
    <w:p w14:paraId="1DF49AB7" w14:textId="2D589FAE" w:rsidR="00D01EBE" w:rsidRDefault="00D01EBE" w:rsidP="00B17B14">
      <w:pPr>
        <w:spacing w:after="120" w:line="360" w:lineRule="auto"/>
        <w:ind w:left="708" w:right="1695"/>
        <w:rPr>
          <w:rFonts w:ascii="Arial" w:eastAsia="Arial" w:hAnsi="Arial" w:cs="Arial"/>
        </w:rPr>
      </w:pPr>
      <w:r>
        <w:rPr>
          <w:rFonts w:ascii="Arial" w:hAnsi="Arial"/>
          <w:noProof/>
        </w:rPr>
        <w:lastRenderedPageBreak/>
        <w:drawing>
          <wp:inline distT="0" distB="0" distL="0" distR="0" wp14:anchorId="3BF2B05A" wp14:editId="546A98B8">
            <wp:extent cx="1440000" cy="1440000"/>
            <wp:effectExtent l="0" t="0" r="0" b="0"/>
            <wp:docPr id="949382618"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382618" name="Grafik 949382618"/>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2735764E" w14:textId="77777777" w:rsidR="00D01EBE" w:rsidRPr="00D01EBE" w:rsidRDefault="00D01EBE" w:rsidP="00D01EBE">
      <w:pPr>
        <w:spacing w:after="120" w:line="360" w:lineRule="auto"/>
        <w:ind w:left="708" w:right="1695"/>
        <w:rPr>
          <w:rFonts w:ascii="Arial" w:eastAsia="Arial" w:hAnsi="Arial" w:cs="Arial"/>
          <w:b/>
          <w:bCs/>
        </w:rPr>
      </w:pPr>
      <w:r>
        <w:rPr>
          <w:rFonts w:ascii="Arial" w:hAnsi="Arial"/>
        </w:rPr>
        <w:t xml:space="preserve">Vídeo: </w:t>
      </w:r>
      <w:r>
        <w:rPr>
          <w:rFonts w:ascii="Arial" w:hAnsi="Arial"/>
        </w:rPr>
        <w:br/>
      </w:r>
      <w:r>
        <w:rPr>
          <w:rFonts w:ascii="Arial" w:hAnsi="Arial"/>
          <w:b/>
        </w:rPr>
        <w:t xml:space="preserve">www.amazone.net/yt-Precea-7500-TCC </w:t>
      </w:r>
    </w:p>
    <w:p w14:paraId="2DC188AB" w14:textId="77777777" w:rsidR="00D01EBE" w:rsidRPr="00B17B14" w:rsidRDefault="00D01EBE" w:rsidP="00B17B14">
      <w:pPr>
        <w:spacing w:after="120" w:line="360" w:lineRule="auto"/>
        <w:ind w:left="708" w:right="1695"/>
        <w:rPr>
          <w:rFonts w:ascii="Arial" w:eastAsia="Arial" w:hAnsi="Arial" w:cs="Arial"/>
        </w:rPr>
      </w:pPr>
    </w:p>
    <w:p w14:paraId="414F000D" w14:textId="77777777" w:rsidR="00B17B14" w:rsidRDefault="00B17B14" w:rsidP="00B17B14">
      <w:pPr>
        <w:spacing w:after="120" w:line="360" w:lineRule="auto"/>
        <w:ind w:left="708" w:right="1695"/>
        <w:rPr>
          <w:rFonts w:ascii="Arial" w:eastAsia="Arial" w:hAnsi="Arial" w:cs="Arial"/>
        </w:rPr>
      </w:pPr>
    </w:p>
    <w:p w14:paraId="767E4664" w14:textId="6E92B306" w:rsidR="00B17B14" w:rsidRDefault="00B17B14" w:rsidP="00B17B14">
      <w:pPr>
        <w:spacing w:after="120" w:line="360" w:lineRule="auto"/>
        <w:ind w:left="708" w:right="1695"/>
        <w:rPr>
          <w:rFonts w:ascii="Arial" w:eastAsia="Arial" w:hAnsi="Arial" w:cs="Arial"/>
        </w:rPr>
      </w:pPr>
      <w:r>
        <w:rPr>
          <w:rFonts w:ascii="Arial" w:hAnsi="Arial"/>
          <w:noProof/>
        </w:rPr>
        <w:drawing>
          <wp:inline distT="0" distB="0" distL="0" distR="0" wp14:anchorId="0CEAD1A9" wp14:editId="04CE1BBE">
            <wp:extent cx="6120000" cy="2109600"/>
            <wp:effectExtent l="0" t="0" r="1905" b="0"/>
            <wp:docPr id="1642211366"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2211366" name="Grafik 1642211366"/>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3F3FA867" w14:textId="77777777" w:rsidR="00B17B14" w:rsidRPr="00B17B14" w:rsidRDefault="00B17B14" w:rsidP="00B17B14">
      <w:pPr>
        <w:spacing w:after="120" w:line="360" w:lineRule="auto"/>
        <w:ind w:left="708" w:right="1695"/>
        <w:rPr>
          <w:rFonts w:ascii="Arial" w:eastAsia="Arial" w:hAnsi="Arial" w:cs="Arial"/>
        </w:rPr>
      </w:pPr>
      <w:r>
        <w:rPr>
          <w:rFonts w:ascii="Arial" w:hAnsi="Arial"/>
        </w:rPr>
        <w:t>Precea-TCC con separadores en estrella situados delante y neumáticos dobles</w:t>
      </w:r>
    </w:p>
    <w:p w14:paraId="49E3B70D" w14:textId="77777777" w:rsidR="00B17B14" w:rsidRDefault="00B17B14" w:rsidP="00B17B14">
      <w:pPr>
        <w:spacing w:after="120" w:line="360" w:lineRule="auto"/>
        <w:ind w:left="708" w:right="1695"/>
        <w:rPr>
          <w:rFonts w:ascii="Arial" w:eastAsia="Arial" w:hAnsi="Arial" w:cs="Arial"/>
        </w:rPr>
      </w:pPr>
    </w:p>
    <w:p w14:paraId="73060CD1" w14:textId="77777777" w:rsidR="00B17B14" w:rsidRDefault="00B17B14" w:rsidP="00B17B14">
      <w:pPr>
        <w:spacing w:after="120" w:line="360" w:lineRule="auto"/>
        <w:ind w:left="708" w:right="1695"/>
        <w:rPr>
          <w:rFonts w:ascii="Arial" w:eastAsia="Arial" w:hAnsi="Arial" w:cs="Arial"/>
        </w:rPr>
      </w:pPr>
    </w:p>
    <w:p w14:paraId="4A012D94" w14:textId="143EAAE6" w:rsidR="00B17B14" w:rsidRDefault="00B17B14" w:rsidP="00B17B14">
      <w:pPr>
        <w:spacing w:after="120" w:line="360" w:lineRule="auto"/>
        <w:ind w:left="708" w:right="1695"/>
        <w:rPr>
          <w:rFonts w:ascii="Arial" w:eastAsia="Arial" w:hAnsi="Arial" w:cs="Arial"/>
        </w:rPr>
      </w:pPr>
      <w:r>
        <w:rPr>
          <w:rFonts w:ascii="Arial" w:hAnsi="Arial"/>
          <w:noProof/>
        </w:rPr>
        <w:lastRenderedPageBreak/>
        <w:drawing>
          <wp:inline distT="0" distB="0" distL="0" distR="0" wp14:anchorId="432EE40A" wp14:editId="36195491">
            <wp:extent cx="4064400" cy="2880000"/>
            <wp:effectExtent l="0" t="0" r="0" b="3175"/>
            <wp:docPr id="1267045186"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7045186" name="Grafik 1267045186"/>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0631993F" w14:textId="77777777" w:rsidR="00B17B14" w:rsidRPr="00B17B14" w:rsidRDefault="00B17B14" w:rsidP="00B17B14">
      <w:pPr>
        <w:spacing w:after="120" w:line="360" w:lineRule="auto"/>
        <w:ind w:left="708" w:right="1695"/>
        <w:rPr>
          <w:rFonts w:ascii="Arial" w:eastAsia="Arial" w:hAnsi="Arial" w:cs="Arial"/>
        </w:rPr>
      </w:pPr>
      <w:r>
        <w:rPr>
          <w:rFonts w:ascii="Arial" w:hAnsi="Arial"/>
        </w:rPr>
        <w:t>Separadores en estrella situados delante para un surco de siembra limpiamente despejado</w:t>
      </w:r>
    </w:p>
    <w:p w14:paraId="32B8F733" w14:textId="77777777" w:rsidR="00B17B14" w:rsidRDefault="00B17B14" w:rsidP="00B17B14">
      <w:pPr>
        <w:spacing w:after="120" w:line="360" w:lineRule="auto"/>
        <w:ind w:left="708" w:right="1695"/>
        <w:rPr>
          <w:rFonts w:ascii="Arial" w:eastAsia="Arial" w:hAnsi="Arial" w:cs="Arial"/>
        </w:rPr>
      </w:pPr>
    </w:p>
    <w:p w14:paraId="34966353" w14:textId="77777777" w:rsidR="00B17B14" w:rsidRDefault="00B17B14" w:rsidP="00B17B14">
      <w:pPr>
        <w:spacing w:after="120" w:line="360" w:lineRule="auto"/>
        <w:ind w:left="708" w:right="1695"/>
        <w:rPr>
          <w:rFonts w:ascii="Arial" w:eastAsia="Arial" w:hAnsi="Arial" w:cs="Arial"/>
        </w:rPr>
      </w:pPr>
    </w:p>
    <w:p w14:paraId="5FA2E1A1" w14:textId="2466DB36" w:rsidR="00B17B14" w:rsidRDefault="00B17B14" w:rsidP="00B17B14">
      <w:pPr>
        <w:spacing w:after="120" w:line="360" w:lineRule="auto"/>
        <w:ind w:left="708" w:right="1695"/>
        <w:rPr>
          <w:rFonts w:ascii="Arial" w:eastAsia="Arial" w:hAnsi="Arial" w:cs="Arial"/>
        </w:rPr>
      </w:pPr>
      <w:r>
        <w:rPr>
          <w:rFonts w:ascii="Arial" w:hAnsi="Arial"/>
          <w:noProof/>
        </w:rPr>
        <w:drawing>
          <wp:inline distT="0" distB="0" distL="0" distR="0" wp14:anchorId="18F46616" wp14:editId="354513E7">
            <wp:extent cx="4064400" cy="2880000"/>
            <wp:effectExtent l="0" t="0" r="0" b="3175"/>
            <wp:docPr id="820882290"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0882290" name="Grafik 820882290"/>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6692311C" w14:textId="77777777" w:rsidR="00B17B14" w:rsidRPr="00B17B14" w:rsidRDefault="00B17B14" w:rsidP="00B17B14">
      <w:pPr>
        <w:spacing w:after="120" w:line="360" w:lineRule="auto"/>
        <w:ind w:left="708" w:right="1695"/>
        <w:rPr>
          <w:rFonts w:ascii="Arial" w:eastAsia="Arial" w:hAnsi="Arial" w:cs="Arial"/>
        </w:rPr>
      </w:pPr>
      <w:r>
        <w:rPr>
          <w:rFonts w:ascii="Arial" w:hAnsi="Arial"/>
        </w:rPr>
        <w:t>Los separadores en estrella situados delante pueden elevarse neumáticamente</w:t>
      </w:r>
    </w:p>
    <w:p w14:paraId="71E62765" w14:textId="77777777" w:rsidR="00B17B14" w:rsidRDefault="00B17B14" w:rsidP="00B17B14">
      <w:pPr>
        <w:spacing w:after="120" w:line="360" w:lineRule="auto"/>
        <w:ind w:left="708" w:right="1695"/>
        <w:rPr>
          <w:rFonts w:ascii="Arial" w:eastAsia="Arial" w:hAnsi="Arial" w:cs="Arial"/>
        </w:rPr>
      </w:pPr>
    </w:p>
    <w:p w14:paraId="37B29BBD" w14:textId="77777777" w:rsidR="00B17B14" w:rsidRDefault="00B17B14" w:rsidP="00B17B14">
      <w:pPr>
        <w:spacing w:after="120" w:line="360" w:lineRule="auto"/>
        <w:ind w:left="708" w:right="1695"/>
        <w:rPr>
          <w:rFonts w:ascii="Arial" w:eastAsia="Arial" w:hAnsi="Arial" w:cs="Arial"/>
        </w:rPr>
      </w:pPr>
    </w:p>
    <w:p w14:paraId="4F50D150" w14:textId="2795EEF9" w:rsidR="00B17B14" w:rsidRDefault="00B17B14" w:rsidP="00B17B14">
      <w:pPr>
        <w:spacing w:after="120" w:line="360" w:lineRule="auto"/>
        <w:ind w:left="708" w:right="1695"/>
        <w:rPr>
          <w:rFonts w:ascii="Arial" w:eastAsia="Arial" w:hAnsi="Arial" w:cs="Arial"/>
        </w:rPr>
      </w:pPr>
      <w:r>
        <w:rPr>
          <w:rFonts w:ascii="Arial" w:hAnsi="Arial"/>
          <w:noProof/>
        </w:rPr>
        <w:lastRenderedPageBreak/>
        <w:drawing>
          <wp:inline distT="0" distB="0" distL="0" distR="0" wp14:anchorId="3DFD7B35" wp14:editId="2492F81C">
            <wp:extent cx="4064400" cy="2880000"/>
            <wp:effectExtent l="0" t="0" r="0" b="3175"/>
            <wp:docPr id="2028872050"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8872050" name="Grafik 2028872050"/>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3ABDA8AB" w14:textId="77777777" w:rsidR="00B17B14" w:rsidRPr="00B17B14" w:rsidRDefault="00B17B14" w:rsidP="00B17B14">
      <w:pPr>
        <w:spacing w:after="120" w:line="360" w:lineRule="auto"/>
        <w:ind w:left="708" w:right="1695"/>
        <w:rPr>
          <w:rFonts w:ascii="Arial" w:eastAsia="Arial" w:hAnsi="Arial" w:cs="Arial"/>
        </w:rPr>
      </w:pPr>
      <w:r>
        <w:rPr>
          <w:rFonts w:ascii="Arial" w:hAnsi="Arial"/>
        </w:rPr>
        <w:t>Precea con 12 hileras y 50 cm de distancia entre hileras: los neumáticos dobles discurren entre los grupos de separación</w:t>
      </w:r>
    </w:p>
    <w:p w14:paraId="2631E337" w14:textId="77777777" w:rsidR="00B17B14" w:rsidRDefault="00B17B14" w:rsidP="00B17B14">
      <w:pPr>
        <w:spacing w:after="120" w:line="360" w:lineRule="auto"/>
        <w:ind w:left="708" w:right="1695"/>
        <w:rPr>
          <w:rFonts w:ascii="Arial" w:eastAsia="Arial" w:hAnsi="Arial" w:cs="Arial"/>
        </w:rPr>
      </w:pPr>
    </w:p>
    <w:p w14:paraId="56100254" w14:textId="77777777" w:rsidR="00B17B14" w:rsidRDefault="00B17B14" w:rsidP="00B17B14">
      <w:pPr>
        <w:spacing w:after="120" w:line="360" w:lineRule="auto"/>
        <w:ind w:left="708" w:right="1695"/>
        <w:rPr>
          <w:rFonts w:ascii="Arial" w:eastAsia="Arial" w:hAnsi="Arial" w:cs="Arial"/>
        </w:rPr>
      </w:pPr>
    </w:p>
    <w:p w14:paraId="58719AF2" w14:textId="77B5654A" w:rsidR="00B17B14" w:rsidRDefault="00B17B14" w:rsidP="00B17B14">
      <w:pPr>
        <w:spacing w:after="120" w:line="360" w:lineRule="auto"/>
        <w:ind w:left="708" w:right="1695"/>
        <w:rPr>
          <w:rFonts w:ascii="Arial" w:eastAsia="Arial" w:hAnsi="Arial" w:cs="Arial"/>
        </w:rPr>
      </w:pPr>
      <w:r>
        <w:rPr>
          <w:rFonts w:ascii="Arial" w:hAnsi="Arial"/>
          <w:noProof/>
        </w:rPr>
        <w:drawing>
          <wp:inline distT="0" distB="0" distL="0" distR="0" wp14:anchorId="04FBAF5D" wp14:editId="4FC3C615">
            <wp:extent cx="4064400" cy="2880000"/>
            <wp:effectExtent l="0" t="0" r="0" b="3175"/>
            <wp:docPr id="1371331886"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1331886" name="Grafik 1371331886"/>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1E43901B" w14:textId="4A74EA01" w:rsidR="005A6BA9" w:rsidRDefault="00B17B14" w:rsidP="00B17B14">
      <w:pPr>
        <w:spacing w:after="120" w:line="360" w:lineRule="auto"/>
        <w:ind w:left="708" w:right="1695"/>
        <w:rPr>
          <w:rFonts w:ascii="Arial" w:hAnsi="Arial"/>
        </w:rPr>
      </w:pPr>
      <w:r>
        <w:rPr>
          <w:rFonts w:ascii="Arial" w:hAnsi="Arial"/>
        </w:rPr>
        <w:t>MultiSpot: la aplicación de abono se realiza en muchas pequeñas dosis; por ejemplo, en colza</w:t>
      </w:r>
    </w:p>
    <w:p w14:paraId="02420A73" w14:textId="77777777" w:rsidR="005A6BA9" w:rsidRDefault="005A6BA9">
      <w:pPr>
        <w:rPr>
          <w:rFonts w:ascii="Arial" w:hAnsi="Arial"/>
        </w:rPr>
      </w:pPr>
      <w:r>
        <w:rPr>
          <w:rFonts w:ascii="Arial" w:hAnsi="Arial"/>
        </w:rPr>
        <w:br w:type="page"/>
      </w:r>
    </w:p>
    <w:p w14:paraId="70A0003B" w14:textId="77777777" w:rsidR="00F17946" w:rsidRDefault="00F17946" w:rsidP="00F17946">
      <w:pPr>
        <w:spacing w:after="120" w:line="360" w:lineRule="auto"/>
        <w:ind w:right="1695"/>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Las figuras, el contenido y los datos referentes a los datos técnicos están sujetos a modificación y pueden diferir en función del equipamiento. Deben cumplirse las disposiciones aplicables del código de circulación propio de cada país, por lo que puede ser necesaria una autorización especial. </w:t>
      </w:r>
    </w:p>
    <w:p w14:paraId="0FA09E64" w14:textId="77777777" w:rsidR="00F17946" w:rsidRDefault="00F17946"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Acerca de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AMAZONEN-WERKE H. Dreyer SE &amp; Co. KG, con sede en Hasbergen-Gaste, C. P. 49205, fabrica máquinas agrícolas y municipales. La empresa, gestionada por sus propietarios, da empleo a más de 2500 personas en nueve centros de producción diferentes. La gama de maquinaria agrícola incluye equipos de labrado, sembradoras, abonadoras, equipos de protección de cultivos y tecnología de azada. Basándose en estas competencias básicas, AMAZONE es hoy el especialista agrícola en “producción de cultivos inteligente”. AMAZONE también ofrece máquinas municipales versátiles para el mantenimiento de parques y superficies verdes, así como para el servicio de invierno.</w:t>
      </w:r>
    </w:p>
    <w:p w14:paraId="2853F425"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Más información: </w:t>
      </w:r>
      <w:hyperlink r:id="rId17" w:history="1">
        <w:r>
          <w:rPr>
            <w:rStyle w:val="Hyperlink"/>
            <w:rFonts w:ascii="Arial" w:hAnsi="Arial"/>
            <w:sz w:val="20"/>
          </w:rPr>
          <w:t>www.amazone.net/es</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0AA07137">
            <wp:extent cx="241300" cy="241300"/>
            <wp:effectExtent l="0" t="0" r="6350" b="6350"/>
            <wp:docPr id="13" name="Grafik 13">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758857E2">
            <wp:extent cx="241300" cy="241300"/>
            <wp:effectExtent l="0" t="0" r="6350" b="6350"/>
            <wp:docPr id="12" name="Grafik 12">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03B5EE6C">
            <wp:extent cx="241300" cy="241300"/>
            <wp:effectExtent l="0" t="0" r="6350" b="6350"/>
            <wp:docPr id="11" name="Grafik 11">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48DBDC06">
            <wp:extent cx="241300" cy="241300"/>
            <wp:effectExtent l="0" t="0" r="6350" b="6350"/>
            <wp:docPr id="10" name="Grafik 10">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7"/>
                    </pic:cNvPr>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28B6B120">
            <wp:extent cx="241300" cy="241300"/>
            <wp:effectExtent l="0" t="0" r="6350" b="6350"/>
            <wp:docPr id="7" name="Grafik 7">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30"/>
                    </pic:cNvPr>
                    <pic:cNvPicPr>
                      <a:picLocks noChangeAspect="1" noChangeArrowheads="1"/>
                    </pic:cNvPicPr>
                  </pic:nvPicPr>
                  <pic:blipFill>
                    <a:blip r:embed="rId31" r:link="rId3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33"/>
      <w:footerReference w:type="default" r:id="rId34"/>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DD5D57" w14:textId="77777777" w:rsidR="009942BC" w:rsidRDefault="009942BC">
      <w:r>
        <w:separator/>
      </w:r>
    </w:p>
  </w:endnote>
  <w:endnote w:type="continuationSeparator" w:id="0">
    <w:p w14:paraId="7795894F" w14:textId="77777777" w:rsidR="009942BC" w:rsidRDefault="009942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Página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de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Página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de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SE Co. KG.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Teléfono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SE Co. KG.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Teléfono +49 (0)5405 501-0 ∙ amazone@amazone.de ∙ www.amazone.de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C07DC0" w14:textId="77777777" w:rsidR="009942BC" w:rsidRDefault="009942BC">
      <w:r>
        <w:separator/>
      </w:r>
    </w:p>
  </w:footnote>
  <w:footnote w:type="continuationSeparator" w:id="0">
    <w:p w14:paraId="218BD50C" w14:textId="77777777" w:rsidR="009942BC" w:rsidRDefault="009942B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 xml:space="preserve">Nota </w:t>
                          </w:r>
                          <w:r>
                            <w:rPr>
                              <w:rFonts w:ascii="Arial" w:hAnsi="Arial"/>
                              <w:b/>
                              <w:color w:val="FFFFFF"/>
                              <w:sz w:val="26"/>
                            </w:rPr>
                            <w:t>de prensa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 xml:space="preserve">Nota </w:t>
                    </w:r>
                    <w:r>
                      <w:rPr>
                        <w:rFonts w:ascii="Arial" w:hAnsi="Arial"/>
                        <w:b/>
                        <w:color w:val="FFFFFF"/>
                        <w:sz w:val="26"/>
                      </w:rPr>
                      <w:t>de prensa</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7D0752"/>
    <w:multiLevelType w:val="hybridMultilevel"/>
    <w:tmpl w:val="F9E200D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3"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0EB27873"/>
    <w:multiLevelType w:val="hybridMultilevel"/>
    <w:tmpl w:val="53FECC68"/>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6"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7" w15:restartNumberingAfterBreak="0">
    <w:nsid w:val="16F31361"/>
    <w:multiLevelType w:val="hybridMultilevel"/>
    <w:tmpl w:val="4DECE35E"/>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19E34999"/>
    <w:multiLevelType w:val="hybridMultilevel"/>
    <w:tmpl w:val="61DEE8DE"/>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9" w15:restartNumberingAfterBreak="0">
    <w:nsid w:val="1C563E75"/>
    <w:multiLevelType w:val="hybridMultilevel"/>
    <w:tmpl w:val="A202A98C"/>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0"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11" w15:restartNumberingAfterBreak="0">
    <w:nsid w:val="1CF22476"/>
    <w:multiLevelType w:val="hybridMultilevel"/>
    <w:tmpl w:val="DFE864E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2" w15:restartNumberingAfterBreak="0">
    <w:nsid w:val="1D1F59FD"/>
    <w:multiLevelType w:val="hybridMultilevel"/>
    <w:tmpl w:val="3D48480C"/>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1E94385B"/>
    <w:multiLevelType w:val="hybridMultilevel"/>
    <w:tmpl w:val="2A0EDB54"/>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4" w15:restartNumberingAfterBreak="0">
    <w:nsid w:val="209B1961"/>
    <w:multiLevelType w:val="hybridMultilevel"/>
    <w:tmpl w:val="0930B836"/>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5" w15:restartNumberingAfterBreak="0">
    <w:nsid w:val="23065501"/>
    <w:multiLevelType w:val="hybridMultilevel"/>
    <w:tmpl w:val="9B50D76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6" w15:restartNumberingAfterBreak="0">
    <w:nsid w:val="25131395"/>
    <w:multiLevelType w:val="hybridMultilevel"/>
    <w:tmpl w:val="3B685506"/>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26FB250A"/>
    <w:multiLevelType w:val="hybridMultilevel"/>
    <w:tmpl w:val="5DBA14D4"/>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9" w15:restartNumberingAfterBreak="0">
    <w:nsid w:val="28F45CDE"/>
    <w:multiLevelType w:val="hybridMultilevel"/>
    <w:tmpl w:val="B7942940"/>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2AC03FCE"/>
    <w:multiLevelType w:val="hybridMultilevel"/>
    <w:tmpl w:val="12B4CA86"/>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1" w15:restartNumberingAfterBreak="0">
    <w:nsid w:val="2DE86C60"/>
    <w:multiLevelType w:val="hybridMultilevel"/>
    <w:tmpl w:val="FA681C7C"/>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2" w15:restartNumberingAfterBreak="0">
    <w:nsid w:val="2E664C4B"/>
    <w:multiLevelType w:val="hybridMultilevel"/>
    <w:tmpl w:val="F4CCF88C"/>
    <w:lvl w:ilvl="0" w:tplc="1DFCADF0">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23"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4"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6"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7" w15:restartNumberingAfterBreak="0">
    <w:nsid w:val="4E8B71AC"/>
    <w:multiLevelType w:val="hybridMultilevel"/>
    <w:tmpl w:val="BE569C30"/>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4EFA030D"/>
    <w:multiLevelType w:val="hybridMultilevel"/>
    <w:tmpl w:val="30720222"/>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50BE599E"/>
    <w:multiLevelType w:val="hybridMultilevel"/>
    <w:tmpl w:val="B79C655C"/>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30"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1" w15:restartNumberingAfterBreak="0">
    <w:nsid w:val="53BC262A"/>
    <w:multiLevelType w:val="hybridMultilevel"/>
    <w:tmpl w:val="DD22F8A8"/>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2" w15:restartNumberingAfterBreak="0">
    <w:nsid w:val="547F4BEA"/>
    <w:multiLevelType w:val="hybridMultilevel"/>
    <w:tmpl w:val="16BA3838"/>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5CF15DBD"/>
    <w:multiLevelType w:val="hybridMultilevel"/>
    <w:tmpl w:val="A9DAAF62"/>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4" w15:restartNumberingAfterBreak="0">
    <w:nsid w:val="5E9D0734"/>
    <w:multiLevelType w:val="hybridMultilevel"/>
    <w:tmpl w:val="F29CDF12"/>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5"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36" w15:restartNumberingAfterBreak="0">
    <w:nsid w:val="620E00FC"/>
    <w:multiLevelType w:val="hybridMultilevel"/>
    <w:tmpl w:val="D610E1E0"/>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38"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9" w15:restartNumberingAfterBreak="0">
    <w:nsid w:val="6DF3463D"/>
    <w:multiLevelType w:val="hybridMultilevel"/>
    <w:tmpl w:val="D0444AA2"/>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41" w15:restartNumberingAfterBreak="0">
    <w:nsid w:val="71B44591"/>
    <w:multiLevelType w:val="hybridMultilevel"/>
    <w:tmpl w:val="0DD4C068"/>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43" w15:restartNumberingAfterBreak="0">
    <w:nsid w:val="7E6B2107"/>
    <w:multiLevelType w:val="hybridMultilevel"/>
    <w:tmpl w:val="84E2572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44" w15:restartNumberingAfterBreak="0">
    <w:nsid w:val="7E735C7D"/>
    <w:multiLevelType w:val="hybridMultilevel"/>
    <w:tmpl w:val="E19CBB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24"/>
  </w:num>
  <w:num w:numId="2" w16cid:durableId="1510219160">
    <w:abstractNumId w:val="2"/>
  </w:num>
  <w:num w:numId="3" w16cid:durableId="613364659">
    <w:abstractNumId w:val="10"/>
  </w:num>
  <w:num w:numId="4" w16cid:durableId="1043675452">
    <w:abstractNumId w:val="18"/>
  </w:num>
  <w:num w:numId="5" w16cid:durableId="2011105495">
    <w:abstractNumId w:val="6"/>
  </w:num>
  <w:num w:numId="6" w16cid:durableId="494960578">
    <w:abstractNumId w:val="1"/>
  </w:num>
  <w:num w:numId="7" w16cid:durableId="2097939876">
    <w:abstractNumId w:val="38"/>
  </w:num>
  <w:num w:numId="8" w16cid:durableId="33434184">
    <w:abstractNumId w:val="26"/>
  </w:num>
  <w:num w:numId="9" w16cid:durableId="274018629">
    <w:abstractNumId w:val="35"/>
  </w:num>
  <w:num w:numId="10" w16cid:durableId="1622229493">
    <w:abstractNumId w:val="37"/>
  </w:num>
  <w:num w:numId="11" w16cid:durableId="280575959">
    <w:abstractNumId w:val="30"/>
  </w:num>
  <w:num w:numId="12" w16cid:durableId="169492611">
    <w:abstractNumId w:val="40"/>
  </w:num>
  <w:num w:numId="13" w16cid:durableId="711804392">
    <w:abstractNumId w:val="42"/>
  </w:num>
  <w:num w:numId="14" w16cid:durableId="614945063">
    <w:abstractNumId w:val="4"/>
  </w:num>
  <w:num w:numId="15" w16cid:durableId="787310930">
    <w:abstractNumId w:val="23"/>
  </w:num>
  <w:num w:numId="16" w16cid:durableId="1954821959">
    <w:abstractNumId w:val="25"/>
  </w:num>
  <w:num w:numId="17" w16cid:durableId="1429236192">
    <w:abstractNumId w:val="3"/>
  </w:num>
  <w:num w:numId="18" w16cid:durableId="801196723">
    <w:abstractNumId w:val="44"/>
  </w:num>
  <w:num w:numId="19" w16cid:durableId="595864091">
    <w:abstractNumId w:val="14"/>
  </w:num>
  <w:num w:numId="20" w16cid:durableId="2085832550">
    <w:abstractNumId w:val="34"/>
  </w:num>
  <w:num w:numId="21" w16cid:durableId="1235970655">
    <w:abstractNumId w:val="0"/>
  </w:num>
  <w:num w:numId="22" w16cid:durableId="454446071">
    <w:abstractNumId w:val="13"/>
  </w:num>
  <w:num w:numId="23" w16cid:durableId="1538158893">
    <w:abstractNumId w:val="5"/>
  </w:num>
  <w:num w:numId="24" w16cid:durableId="1042562684">
    <w:abstractNumId w:val="39"/>
  </w:num>
  <w:num w:numId="25" w16cid:durableId="952515695">
    <w:abstractNumId w:val="12"/>
  </w:num>
  <w:num w:numId="26" w16cid:durableId="741101877">
    <w:abstractNumId w:val="20"/>
  </w:num>
  <w:num w:numId="27" w16cid:durableId="1955868104">
    <w:abstractNumId w:val="11"/>
  </w:num>
  <w:num w:numId="28" w16cid:durableId="1288392759">
    <w:abstractNumId w:val="17"/>
  </w:num>
  <w:num w:numId="29" w16cid:durableId="1930917636">
    <w:abstractNumId w:val="16"/>
  </w:num>
  <w:num w:numId="30" w16cid:durableId="133837937">
    <w:abstractNumId w:val="8"/>
  </w:num>
  <w:num w:numId="31" w16cid:durableId="1949579619">
    <w:abstractNumId w:val="32"/>
  </w:num>
  <w:num w:numId="32" w16cid:durableId="2112696074">
    <w:abstractNumId w:val="27"/>
  </w:num>
  <w:num w:numId="33" w16cid:durableId="168763437">
    <w:abstractNumId w:val="9"/>
  </w:num>
  <w:num w:numId="34" w16cid:durableId="740366733">
    <w:abstractNumId w:val="36"/>
  </w:num>
  <w:num w:numId="35" w16cid:durableId="397358972">
    <w:abstractNumId w:val="19"/>
  </w:num>
  <w:num w:numId="36" w16cid:durableId="2060278956">
    <w:abstractNumId w:val="43"/>
  </w:num>
  <w:num w:numId="37" w16cid:durableId="1624076177">
    <w:abstractNumId w:val="33"/>
  </w:num>
  <w:num w:numId="38" w16cid:durableId="1617178793">
    <w:abstractNumId w:val="31"/>
  </w:num>
  <w:num w:numId="39" w16cid:durableId="1835024161">
    <w:abstractNumId w:val="15"/>
  </w:num>
  <w:num w:numId="40" w16cid:durableId="978071882">
    <w:abstractNumId w:val="7"/>
  </w:num>
  <w:num w:numId="41" w16cid:durableId="326906566">
    <w:abstractNumId w:val="28"/>
  </w:num>
  <w:num w:numId="42" w16cid:durableId="752749325">
    <w:abstractNumId w:val="21"/>
  </w:num>
  <w:num w:numId="43" w16cid:durableId="915671095">
    <w:abstractNumId w:val="29"/>
  </w:num>
  <w:num w:numId="44" w16cid:durableId="802966989">
    <w:abstractNumId w:val="41"/>
  </w:num>
  <w:num w:numId="45" w16cid:durableId="1361593064">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1"/>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4F0C"/>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8FB"/>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0A5B"/>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960B3"/>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515"/>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2A84"/>
    <w:rsid w:val="0028387B"/>
    <w:rsid w:val="00286CAE"/>
    <w:rsid w:val="00286F63"/>
    <w:rsid w:val="002902E3"/>
    <w:rsid w:val="002906A8"/>
    <w:rsid w:val="00293D32"/>
    <w:rsid w:val="00293D96"/>
    <w:rsid w:val="002959B4"/>
    <w:rsid w:val="00295EFE"/>
    <w:rsid w:val="00297096"/>
    <w:rsid w:val="002A08F9"/>
    <w:rsid w:val="002A2D94"/>
    <w:rsid w:val="002A4ADB"/>
    <w:rsid w:val="002A62E9"/>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2BEF"/>
    <w:rsid w:val="003132FB"/>
    <w:rsid w:val="003156BE"/>
    <w:rsid w:val="00316911"/>
    <w:rsid w:val="003171E2"/>
    <w:rsid w:val="003203EE"/>
    <w:rsid w:val="00320F24"/>
    <w:rsid w:val="00321245"/>
    <w:rsid w:val="00322003"/>
    <w:rsid w:val="00324BAE"/>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1D3"/>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3496"/>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1E8B"/>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3B39"/>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1C85"/>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4F3"/>
    <w:rsid w:val="00534972"/>
    <w:rsid w:val="00536562"/>
    <w:rsid w:val="00536576"/>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36E5"/>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6BA9"/>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676C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5A53"/>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77E55"/>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2A0D"/>
    <w:rsid w:val="00855B27"/>
    <w:rsid w:val="008561B4"/>
    <w:rsid w:val="008564F5"/>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879E5"/>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46B"/>
    <w:rsid w:val="00976A01"/>
    <w:rsid w:val="00982DD1"/>
    <w:rsid w:val="0098571E"/>
    <w:rsid w:val="00986F49"/>
    <w:rsid w:val="00991C50"/>
    <w:rsid w:val="00991D62"/>
    <w:rsid w:val="00992CB8"/>
    <w:rsid w:val="009942BC"/>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4023"/>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49A0"/>
    <w:rsid w:val="00A1027B"/>
    <w:rsid w:val="00A10512"/>
    <w:rsid w:val="00A13169"/>
    <w:rsid w:val="00A16777"/>
    <w:rsid w:val="00A16D39"/>
    <w:rsid w:val="00A22D78"/>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2EF5"/>
    <w:rsid w:val="00AD3A37"/>
    <w:rsid w:val="00AD4CFD"/>
    <w:rsid w:val="00AE1395"/>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17B1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1F6A"/>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3794"/>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3ABB"/>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1EBE"/>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C74EC"/>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4116"/>
    <w:rsid w:val="00E869C9"/>
    <w:rsid w:val="00E934C0"/>
    <w:rsid w:val="00E940B2"/>
    <w:rsid w:val="00E9487C"/>
    <w:rsid w:val="00E953F2"/>
    <w:rsid w:val="00E96CF4"/>
    <w:rsid w:val="00E97658"/>
    <w:rsid w:val="00EA00A7"/>
    <w:rsid w:val="00EA0CD0"/>
    <w:rsid w:val="00EA1C8E"/>
    <w:rsid w:val="00EA63A7"/>
    <w:rsid w:val="00EA6DCE"/>
    <w:rsid w:val="00EA76FC"/>
    <w:rsid w:val="00EB27C5"/>
    <w:rsid w:val="00EB49A8"/>
    <w:rsid w:val="00EC1F4D"/>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17946"/>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BC2"/>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133"/>
    <w:rsid w:val="00FC043A"/>
    <w:rsid w:val="00FC0DBD"/>
    <w:rsid w:val="00FC6A49"/>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es-ES"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s://www.facebook.com/amazone.group" TargetMode="External"/><Relationship Id="rId26" Type="http://schemas.openxmlformats.org/officeDocument/2006/relationships/image" Target="cid:YT_e9180d16-5a2b-4618-92e9-22a015f9cafb.jpg" TargetMode="External"/><Relationship Id="rId3" Type="http://schemas.openxmlformats.org/officeDocument/2006/relationships/styles" Target="styles.xml"/><Relationship Id="rId21" Type="http://schemas.openxmlformats.org/officeDocument/2006/relationships/hyperlink" Target="https://instagram.com/amazone_group" TargetMode="External"/><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www.amazone.net/es" TargetMode="External"/><Relationship Id="rId25" Type="http://schemas.openxmlformats.org/officeDocument/2006/relationships/image" Target="media/image12.jpeg"/><Relationship Id="rId33"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cid:FB_70d43fd1-a841-4de4-bbaa-3e1f495f95d3.jpg" TargetMode="External"/><Relationship Id="rId29" Type="http://schemas.openxmlformats.org/officeDocument/2006/relationships/image" Target="cid:LinkedIn_80de4e9c-c7a3-41e3-8e11-063f7eace13d.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youtube.com/user/amazonede" TargetMode="External"/><Relationship Id="rId32" Type="http://schemas.openxmlformats.org/officeDocument/2006/relationships/image" Target="cid:Xing1_e3730686-2953-47a9-9c47-dbaa518a9207.jpg" TargetMode="Externa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cid:IG_efb650a7-31e4-4674-98db-f2d2d5c58dce.jpg" TargetMode="External"/><Relationship Id="rId28" Type="http://schemas.openxmlformats.org/officeDocument/2006/relationships/image" Target="media/image13.jpeg"/><Relationship Id="rId36"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0.jpeg"/><Relationship Id="rId31" Type="http://schemas.openxmlformats.org/officeDocument/2006/relationships/image" Target="media/image14.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1.jpeg"/><Relationship Id="rId27" Type="http://schemas.openxmlformats.org/officeDocument/2006/relationships/hyperlink" Target="https://www.linkedin.com/company/amazone-group/" TargetMode="External"/><Relationship Id="rId30" Type="http://schemas.openxmlformats.org/officeDocument/2006/relationships/hyperlink" Target="https://www.xing.com/company/amazone" TargetMode="External"/><Relationship Id="rId35" Type="http://schemas.openxmlformats.org/officeDocument/2006/relationships/fontTable" Target="fontTable.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5.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1000</Words>
  <Characters>6307</Characters>
  <Application>Microsoft Office Word</Application>
  <DocSecurity>0</DocSecurity>
  <Lines>52</Lines>
  <Paragraphs>14</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7293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2025-08-18T10:50:00Z</dcterms:created>
  <dcterms:modified xsi:type="dcterms:W3CDTF">2025-09-01T12:55:00Z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