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AFB527C" w14:textId="77777777" w:rsidR="0097646B" w:rsidRPr="0097646B" w:rsidRDefault="0097646B" w:rsidP="0097646B">
      <w:pPr>
        <w:spacing w:line="360" w:lineRule="auto"/>
        <w:ind w:left="567" w:right="1695"/>
        <w:rPr>
          <w:rFonts w:ascii="Arial" w:hAnsi="Arial" w:cs="Arial"/>
          <w:b/>
          <w:bCs/>
          <w:sz w:val="28"/>
          <w:szCs w:val="28"/>
        </w:rPr>
      </w:pPr>
      <w:r>
        <w:rPr>
          <w:rFonts w:ascii="Arial" w:hAnsi="Arial"/>
          <w:b/>
          <w:sz w:val="28"/>
        </w:rPr>
        <w:t xml:space="preserve">Amélioration du semoir </w:t>
      </w:r>
      <w:proofErr w:type="spellStart"/>
      <w:r>
        <w:rPr>
          <w:rFonts w:ascii="Arial" w:hAnsi="Arial"/>
          <w:b/>
          <w:sz w:val="28"/>
        </w:rPr>
        <w:t>monograine</w:t>
      </w:r>
      <w:proofErr w:type="spellEnd"/>
      <w:r>
        <w:rPr>
          <w:rFonts w:ascii="Arial" w:hAnsi="Arial"/>
          <w:b/>
          <w:sz w:val="28"/>
        </w:rPr>
        <w:t xml:space="preserve"> traîné </w:t>
      </w:r>
      <w:proofErr w:type="spellStart"/>
      <w:r>
        <w:rPr>
          <w:rFonts w:ascii="Arial" w:hAnsi="Arial"/>
          <w:b/>
          <w:sz w:val="28"/>
        </w:rPr>
        <w:t>Precea</w:t>
      </w:r>
      <w:proofErr w:type="spellEnd"/>
    </w:p>
    <w:p w14:paraId="0029EA40" w14:textId="77777777" w:rsidR="0097646B" w:rsidRPr="0097646B" w:rsidRDefault="0097646B" w:rsidP="0097646B">
      <w:pPr>
        <w:spacing w:line="360" w:lineRule="auto"/>
        <w:ind w:left="567" w:right="1695"/>
        <w:rPr>
          <w:rFonts w:ascii="Arial" w:hAnsi="Arial" w:cs="Arial"/>
          <w:b/>
          <w:bCs/>
        </w:rPr>
      </w:pPr>
      <w:r>
        <w:rPr>
          <w:rFonts w:ascii="Arial" w:hAnsi="Arial"/>
          <w:b/>
        </w:rPr>
        <w:t xml:space="preserve">Jusqu'à 30 % d'économie d'engrais en combinant </w:t>
      </w:r>
      <w:proofErr w:type="spellStart"/>
      <w:r>
        <w:rPr>
          <w:rFonts w:ascii="Arial" w:hAnsi="Arial"/>
          <w:b/>
        </w:rPr>
        <w:t>SynCrop</w:t>
      </w:r>
      <w:proofErr w:type="spellEnd"/>
      <w:r>
        <w:rPr>
          <w:rFonts w:ascii="Arial" w:hAnsi="Arial"/>
          <w:b/>
        </w:rPr>
        <w:t xml:space="preserve">, </w:t>
      </w:r>
      <w:proofErr w:type="spellStart"/>
      <w:r>
        <w:rPr>
          <w:rFonts w:ascii="Arial" w:hAnsi="Arial"/>
          <w:b/>
        </w:rPr>
        <w:t>FertiSpot</w:t>
      </w:r>
      <w:proofErr w:type="spellEnd"/>
      <w:r>
        <w:rPr>
          <w:rFonts w:ascii="Arial" w:hAnsi="Arial"/>
          <w:b/>
        </w:rPr>
        <w:t xml:space="preserve">, Section Control et </w:t>
      </w:r>
      <w:proofErr w:type="spellStart"/>
      <w:r>
        <w:rPr>
          <w:rFonts w:ascii="Arial" w:hAnsi="Arial"/>
          <w:b/>
        </w:rPr>
        <w:t>CurveControl</w:t>
      </w:r>
      <w:proofErr w:type="spellEnd"/>
    </w:p>
    <w:p w14:paraId="77523A59" w14:textId="77777777" w:rsidR="00070765" w:rsidRDefault="00070765" w:rsidP="00330541">
      <w:pPr>
        <w:spacing w:line="360" w:lineRule="auto"/>
        <w:ind w:left="567" w:right="1695"/>
        <w:rPr>
          <w:rFonts w:ascii="Arial" w:hAnsi="Arial" w:cs="Arial"/>
        </w:rPr>
      </w:pPr>
    </w:p>
    <w:p w14:paraId="50609CF8" w14:textId="77777777" w:rsidR="00F17946" w:rsidRDefault="00F17946" w:rsidP="00F17946">
      <w:pPr>
        <w:spacing w:after="120" w:line="360" w:lineRule="auto"/>
        <w:ind w:left="567" w:right="1695"/>
        <w:rPr>
          <w:rFonts w:ascii="Arial" w:eastAsia="Arial" w:hAnsi="Arial" w:cs="Arial"/>
        </w:rPr>
      </w:pPr>
      <w:r>
        <w:rPr>
          <w:rFonts w:ascii="Arial" w:hAnsi="Arial"/>
        </w:rPr>
        <w:t>L'extension des zones vulnérables pour l'application d'engrais et la pression sociale croissante conduisent à des réglementations de plus en plus strictes et donc à de nouvelles restrictions pour les doses d'engrais autorisées. Les prix élevés des engrais et des intrants renforcent encore les exigences des agriculteurs en matière de machines plus efficaces et plus économes en ressources.</w:t>
      </w:r>
    </w:p>
    <w:p w14:paraId="3ACBED03" w14:textId="77777777" w:rsidR="00F17946" w:rsidRPr="00F17946" w:rsidRDefault="00F17946" w:rsidP="00F17946">
      <w:pPr>
        <w:spacing w:after="120" w:line="360" w:lineRule="auto"/>
        <w:ind w:left="567" w:right="1695"/>
        <w:rPr>
          <w:rFonts w:ascii="Arial" w:eastAsia="Arial" w:hAnsi="Arial" w:cs="Arial"/>
        </w:rPr>
      </w:pPr>
    </w:p>
    <w:p w14:paraId="2572B34E" w14:textId="77777777" w:rsidR="00F17946" w:rsidRPr="00F17946" w:rsidRDefault="00F17946" w:rsidP="00F17946">
      <w:pPr>
        <w:spacing w:after="120" w:line="360" w:lineRule="auto"/>
        <w:ind w:left="567" w:right="1695"/>
        <w:rPr>
          <w:rFonts w:ascii="Arial" w:eastAsia="Arial" w:hAnsi="Arial" w:cs="Arial"/>
          <w:b/>
          <w:bCs/>
        </w:rPr>
      </w:pPr>
      <w:r>
        <w:rPr>
          <w:rFonts w:ascii="Arial" w:hAnsi="Arial"/>
          <w:b/>
        </w:rPr>
        <w:t>Économiser avec précision</w:t>
      </w:r>
    </w:p>
    <w:p w14:paraId="3C558FAD" w14:textId="77777777" w:rsidR="00F17946" w:rsidRPr="00F17946" w:rsidRDefault="00F17946" w:rsidP="00F17946">
      <w:pPr>
        <w:spacing w:after="120" w:line="360" w:lineRule="auto"/>
        <w:ind w:left="567" w:right="1695"/>
        <w:rPr>
          <w:rFonts w:ascii="Arial" w:eastAsia="Arial" w:hAnsi="Arial" w:cs="Arial"/>
        </w:rPr>
      </w:pPr>
      <w:r>
        <w:rPr>
          <w:rFonts w:ascii="Arial" w:hAnsi="Arial"/>
        </w:rPr>
        <w:t xml:space="preserve">Différentes solutions innovantes, individuelles ou combinées, portent AMAZONE à un niveau inégalé en termes de précision pour le semis </w:t>
      </w:r>
      <w:proofErr w:type="spellStart"/>
      <w:r>
        <w:rPr>
          <w:rFonts w:ascii="Arial" w:hAnsi="Arial"/>
        </w:rPr>
        <w:t>monograine</w:t>
      </w:r>
      <w:proofErr w:type="spellEnd"/>
      <w:r>
        <w:rPr>
          <w:rFonts w:ascii="Arial" w:hAnsi="Arial"/>
        </w:rPr>
        <w:t xml:space="preserve"> avec application d'engrais.</w:t>
      </w:r>
    </w:p>
    <w:p w14:paraId="3975BF9B" w14:textId="77777777" w:rsidR="00F17946" w:rsidRPr="00F17946" w:rsidRDefault="00F17946" w:rsidP="00F17946">
      <w:pPr>
        <w:spacing w:after="120" w:line="360" w:lineRule="auto"/>
        <w:ind w:left="567" w:right="1695"/>
        <w:rPr>
          <w:rFonts w:ascii="Arial" w:eastAsia="Arial" w:hAnsi="Arial" w:cs="Arial"/>
          <w:b/>
          <w:bCs/>
        </w:rPr>
      </w:pPr>
    </w:p>
    <w:p w14:paraId="75447C64" w14:textId="77777777" w:rsidR="00F17946" w:rsidRPr="00F17946" w:rsidRDefault="00F17946" w:rsidP="00F17946">
      <w:pPr>
        <w:spacing w:after="120" w:line="360" w:lineRule="auto"/>
        <w:ind w:left="567" w:right="1695"/>
        <w:rPr>
          <w:rFonts w:ascii="Arial" w:eastAsia="Arial" w:hAnsi="Arial" w:cs="Arial"/>
        </w:rPr>
      </w:pPr>
      <w:r>
        <w:rPr>
          <w:rFonts w:ascii="Arial" w:hAnsi="Arial"/>
        </w:rPr>
        <w:t xml:space="preserve">Les engrais sont appliqués de façon très efficace en quantité souhaitée dans le cadre des dispositions légales. Ainsi par exemple l’application d’engrais avec le </w:t>
      </w:r>
      <w:proofErr w:type="spellStart"/>
      <w:r>
        <w:rPr>
          <w:rFonts w:ascii="Arial" w:hAnsi="Arial"/>
        </w:rPr>
        <w:t>Precea</w:t>
      </w:r>
      <w:proofErr w:type="spellEnd"/>
      <w:r>
        <w:rPr>
          <w:rFonts w:ascii="Arial" w:hAnsi="Arial"/>
        </w:rPr>
        <w:t xml:space="preserve"> peut être automatiquement coupée sur les rangs extérieurs le long des cours d’eau ou sur les fourrières en pointe.</w:t>
      </w:r>
    </w:p>
    <w:p w14:paraId="5F64F56C" w14:textId="77777777" w:rsidR="00F17946" w:rsidRPr="00F17946" w:rsidRDefault="00F17946" w:rsidP="00F17946">
      <w:pPr>
        <w:spacing w:after="120" w:line="360" w:lineRule="auto"/>
        <w:ind w:left="567" w:right="1695"/>
        <w:rPr>
          <w:rFonts w:ascii="Arial" w:eastAsia="Arial" w:hAnsi="Arial" w:cs="Arial"/>
          <w:b/>
          <w:bCs/>
        </w:rPr>
      </w:pPr>
    </w:p>
    <w:p w14:paraId="3F281C0E" w14:textId="77777777" w:rsidR="00F17946" w:rsidRPr="00F17946" w:rsidRDefault="00F17946" w:rsidP="00F17946">
      <w:pPr>
        <w:spacing w:after="120" w:line="360" w:lineRule="auto"/>
        <w:ind w:left="567" w:right="1695"/>
        <w:rPr>
          <w:rFonts w:ascii="Arial" w:eastAsia="Arial" w:hAnsi="Arial" w:cs="Arial"/>
          <w:b/>
          <w:bCs/>
        </w:rPr>
      </w:pPr>
      <w:r>
        <w:rPr>
          <w:rFonts w:ascii="Arial" w:hAnsi="Arial"/>
          <w:b/>
        </w:rPr>
        <w:t>Section Control</w:t>
      </w:r>
    </w:p>
    <w:p w14:paraId="00C92D8A" w14:textId="77777777" w:rsidR="00F17946" w:rsidRDefault="00F17946" w:rsidP="00F17946">
      <w:pPr>
        <w:spacing w:after="120" w:line="360" w:lineRule="auto"/>
        <w:ind w:left="567" w:right="1695"/>
        <w:rPr>
          <w:rFonts w:ascii="Arial" w:eastAsia="Arial" w:hAnsi="Arial" w:cs="Arial"/>
        </w:rPr>
      </w:pPr>
      <w:r>
        <w:rPr>
          <w:rFonts w:ascii="Arial" w:hAnsi="Arial"/>
        </w:rPr>
        <w:t xml:space="preserve">Les semoirs </w:t>
      </w:r>
      <w:proofErr w:type="spellStart"/>
      <w:r>
        <w:rPr>
          <w:rFonts w:ascii="Arial" w:hAnsi="Arial"/>
        </w:rPr>
        <w:t>monograines</w:t>
      </w:r>
      <w:proofErr w:type="spellEnd"/>
      <w:r>
        <w:rPr>
          <w:rFonts w:ascii="Arial" w:hAnsi="Arial"/>
        </w:rPr>
        <w:t xml:space="preserve"> </w:t>
      </w:r>
      <w:proofErr w:type="spellStart"/>
      <w:r>
        <w:rPr>
          <w:rFonts w:ascii="Arial" w:hAnsi="Arial"/>
        </w:rPr>
        <w:t>Precea</w:t>
      </w:r>
      <w:proofErr w:type="spellEnd"/>
      <w:r>
        <w:rPr>
          <w:rFonts w:ascii="Arial" w:hAnsi="Arial"/>
        </w:rPr>
        <w:t xml:space="preserve"> coupent l’application d’engrais par le biais de la coupure individuelle de rang avec Section Control. Au niveau de l’alimentation pneumatique, la tête de distribution coupe l’application d’engrais jusqu’au dernier rang sur les pointes et en fourrière, sans avoir de perte de débit.</w:t>
      </w:r>
    </w:p>
    <w:p w14:paraId="72A295CB" w14:textId="2A7F5F83" w:rsidR="00480AB1" w:rsidRDefault="00480AB1">
      <w:pPr>
        <w:rPr>
          <w:rFonts w:ascii="Arial" w:eastAsia="Arial" w:hAnsi="Arial" w:cs="Arial"/>
        </w:rPr>
      </w:pPr>
      <w:r>
        <w:rPr>
          <w:rFonts w:ascii="Arial" w:eastAsia="Arial" w:hAnsi="Arial" w:cs="Arial"/>
        </w:rPr>
        <w:br w:type="page"/>
      </w:r>
    </w:p>
    <w:p w14:paraId="40E4C28D" w14:textId="77777777" w:rsidR="00F17946" w:rsidRPr="00F17946" w:rsidRDefault="00F17946" w:rsidP="00F17946">
      <w:pPr>
        <w:spacing w:after="120" w:line="360" w:lineRule="auto"/>
        <w:ind w:left="567" w:right="1695"/>
        <w:rPr>
          <w:rFonts w:ascii="Arial" w:eastAsia="Arial" w:hAnsi="Arial" w:cs="Arial"/>
          <w:b/>
          <w:bCs/>
        </w:rPr>
      </w:pPr>
      <w:proofErr w:type="spellStart"/>
      <w:r>
        <w:rPr>
          <w:rFonts w:ascii="Arial" w:hAnsi="Arial"/>
          <w:b/>
        </w:rPr>
        <w:lastRenderedPageBreak/>
        <w:t>FertiSpot</w:t>
      </w:r>
      <w:proofErr w:type="spellEnd"/>
      <w:r>
        <w:rPr>
          <w:rFonts w:ascii="Arial" w:hAnsi="Arial"/>
          <w:b/>
        </w:rPr>
        <w:t xml:space="preserve"> </w:t>
      </w:r>
    </w:p>
    <w:p w14:paraId="230876A3" w14:textId="77777777" w:rsidR="00F17946" w:rsidRPr="00F17946" w:rsidRDefault="00F17946" w:rsidP="00F17946">
      <w:pPr>
        <w:spacing w:after="120" w:line="360" w:lineRule="auto"/>
        <w:ind w:left="567" w:right="1695"/>
        <w:rPr>
          <w:rFonts w:ascii="Arial" w:eastAsia="Arial" w:hAnsi="Arial" w:cs="Arial"/>
        </w:rPr>
      </w:pPr>
      <w:r>
        <w:rPr>
          <w:rFonts w:ascii="Arial" w:hAnsi="Arial"/>
        </w:rPr>
        <w:t xml:space="preserve">L'étape suivante consiste à fertiliser chaque plante en fonction de ses besoins. L’engrais arrive dans le répartiteur </w:t>
      </w:r>
      <w:proofErr w:type="spellStart"/>
      <w:r>
        <w:rPr>
          <w:rFonts w:ascii="Arial" w:hAnsi="Arial"/>
        </w:rPr>
        <w:t>FertiSpot</w:t>
      </w:r>
      <w:proofErr w:type="spellEnd"/>
      <w:r>
        <w:rPr>
          <w:rFonts w:ascii="Arial" w:hAnsi="Arial"/>
        </w:rPr>
        <w:t xml:space="preserve"> depuis le système de dosage. Le flux d'engrais qui entre en continu dans le répartiteur est rassemblé par une ailette à grande vitesse. Ce flux quitte ainsi l’unité sous forme de poquets qui sont ensuite dirigés vers les disques fertiliseur pour la mise en terre. Les vitesses de rotation du répartiteur et du disque sélecteur de semence sont synchronisées. La régulation se fait par le biais de la commande ISOBUS du </w:t>
      </w:r>
      <w:proofErr w:type="spellStart"/>
      <w:r>
        <w:rPr>
          <w:rFonts w:ascii="Arial" w:hAnsi="Arial"/>
        </w:rPr>
        <w:t>Precea</w:t>
      </w:r>
      <w:proofErr w:type="spellEnd"/>
      <w:r>
        <w:rPr>
          <w:rFonts w:ascii="Arial" w:hAnsi="Arial"/>
        </w:rPr>
        <w:t>.</w:t>
      </w:r>
    </w:p>
    <w:p w14:paraId="16BC213C" w14:textId="77777777" w:rsidR="00F17946" w:rsidRPr="00F17946" w:rsidRDefault="00F17946" w:rsidP="00F17946">
      <w:pPr>
        <w:spacing w:after="120" w:line="360" w:lineRule="auto"/>
        <w:ind w:left="567" w:right="1695"/>
        <w:rPr>
          <w:rFonts w:ascii="Arial" w:eastAsia="Arial" w:hAnsi="Arial" w:cs="Arial"/>
        </w:rPr>
      </w:pPr>
    </w:p>
    <w:p w14:paraId="4A53C25A" w14:textId="77777777" w:rsidR="00F17946" w:rsidRPr="00F17946" w:rsidRDefault="00F17946" w:rsidP="00F17946">
      <w:pPr>
        <w:spacing w:after="120" w:line="360" w:lineRule="auto"/>
        <w:ind w:left="567" w:right="1695"/>
        <w:rPr>
          <w:rFonts w:ascii="Arial" w:eastAsia="Arial" w:hAnsi="Arial" w:cs="Arial"/>
        </w:rPr>
      </w:pPr>
      <w:r>
        <w:rPr>
          <w:rFonts w:ascii="Arial" w:hAnsi="Arial"/>
        </w:rPr>
        <w:t>Une nouvelle fonctionnalité permet désormais, selon l'application, de localiser aussi l’engrais entre deux graines implantées, afin de préserver les fines racines des cultures sensibles, telles que les betteraves sucrières. Le chauffeur du tracteur saisit sur la commande ISOBUS l’emplacement précis de l’engrais, soit sous la graine, soit entre deux graines.</w:t>
      </w:r>
    </w:p>
    <w:p w14:paraId="0A53E272" w14:textId="77777777" w:rsidR="00F17946" w:rsidRPr="00F17946" w:rsidRDefault="00F17946" w:rsidP="00F17946">
      <w:pPr>
        <w:spacing w:after="120" w:line="360" w:lineRule="auto"/>
        <w:ind w:left="567" w:right="1695"/>
        <w:rPr>
          <w:rFonts w:ascii="Arial" w:eastAsia="Arial" w:hAnsi="Arial" w:cs="Arial"/>
        </w:rPr>
      </w:pPr>
    </w:p>
    <w:p w14:paraId="4F22EA88" w14:textId="77777777" w:rsidR="00F17946" w:rsidRDefault="00F17946" w:rsidP="00F17946">
      <w:pPr>
        <w:spacing w:after="120" w:line="360" w:lineRule="auto"/>
        <w:ind w:left="567" w:right="1695"/>
        <w:rPr>
          <w:rFonts w:ascii="Arial" w:eastAsia="Arial" w:hAnsi="Arial" w:cs="Arial"/>
        </w:rPr>
      </w:pPr>
      <w:r>
        <w:rPr>
          <w:rFonts w:ascii="Arial" w:hAnsi="Arial"/>
        </w:rPr>
        <w:t xml:space="preserve">De même, l’implantation de poquets d’engrais concentrés sur les cultures à forte densité de plantation par hectare se fait sous forme de grappes multiples </w:t>
      </w:r>
      <w:proofErr w:type="spellStart"/>
      <w:r>
        <w:rPr>
          <w:rFonts w:ascii="Arial" w:hAnsi="Arial"/>
        </w:rPr>
        <w:t>MultiSpot</w:t>
      </w:r>
      <w:proofErr w:type="spellEnd"/>
      <w:r>
        <w:rPr>
          <w:rFonts w:ascii="Arial" w:hAnsi="Arial"/>
        </w:rPr>
        <w:t>. Par rapport à l’application en bandes, l‘absorption des éléments nutritifs dans le sol est moindre en raison de la forte concentration du poquet d’engrais. L’absorption des nutriments à long terme est donc améliorée.</w:t>
      </w:r>
    </w:p>
    <w:p w14:paraId="21922BAA" w14:textId="77777777" w:rsidR="00F17946" w:rsidRPr="00F17946" w:rsidRDefault="00F17946" w:rsidP="00F17946">
      <w:pPr>
        <w:spacing w:after="120" w:line="360" w:lineRule="auto"/>
        <w:ind w:left="567" w:right="1695"/>
        <w:rPr>
          <w:rFonts w:ascii="Arial" w:eastAsia="Arial" w:hAnsi="Arial" w:cs="Arial"/>
        </w:rPr>
      </w:pPr>
    </w:p>
    <w:p w14:paraId="098C4950" w14:textId="77777777" w:rsidR="00F17946" w:rsidRPr="00F17946" w:rsidRDefault="00F17946" w:rsidP="00F17946">
      <w:pPr>
        <w:spacing w:after="120" w:line="360" w:lineRule="auto"/>
        <w:ind w:left="567" w:right="1695"/>
        <w:rPr>
          <w:rFonts w:ascii="Arial" w:eastAsia="Arial" w:hAnsi="Arial" w:cs="Arial"/>
          <w:b/>
          <w:bCs/>
        </w:rPr>
      </w:pPr>
      <w:proofErr w:type="spellStart"/>
      <w:r>
        <w:rPr>
          <w:rFonts w:ascii="Arial" w:hAnsi="Arial"/>
          <w:b/>
        </w:rPr>
        <w:t>CurveControl</w:t>
      </w:r>
      <w:proofErr w:type="spellEnd"/>
    </w:p>
    <w:p w14:paraId="65E536BC" w14:textId="77777777" w:rsidR="00F17946" w:rsidRPr="00F17946" w:rsidRDefault="00F17946" w:rsidP="00F17946">
      <w:pPr>
        <w:spacing w:after="120" w:line="360" w:lineRule="auto"/>
        <w:ind w:left="567" w:right="1695"/>
        <w:rPr>
          <w:rFonts w:ascii="Arial" w:eastAsia="Arial" w:hAnsi="Arial" w:cs="Arial"/>
        </w:rPr>
      </w:pPr>
      <w:r>
        <w:rPr>
          <w:rFonts w:ascii="Arial" w:hAnsi="Arial"/>
        </w:rPr>
        <w:t xml:space="preserve">La fonction </w:t>
      </w:r>
      <w:proofErr w:type="spellStart"/>
      <w:r>
        <w:rPr>
          <w:rFonts w:ascii="Arial" w:hAnsi="Arial"/>
        </w:rPr>
        <w:t>CurveControl</w:t>
      </w:r>
      <w:proofErr w:type="spellEnd"/>
      <w:r>
        <w:rPr>
          <w:rFonts w:ascii="Arial" w:hAnsi="Arial"/>
        </w:rPr>
        <w:t xml:space="preserve"> sert à répartir le plus précisément possible la semence et l’engrais, même dans les courbes. Ainsi l’engrais est réparti différemment dans la zone extérieure de la courbe et dans la zone intérieure, mais toujours avec précision en fonction des semences appliquées. Le surdosage et sous dosage de l’engrais est ainsi évité et les cultures sont homogènes.</w:t>
      </w:r>
    </w:p>
    <w:p w14:paraId="2571BEBD" w14:textId="77777777" w:rsidR="00F17946" w:rsidRPr="00F17946" w:rsidRDefault="00F17946" w:rsidP="00F17946">
      <w:pPr>
        <w:spacing w:after="120" w:line="360" w:lineRule="auto"/>
        <w:ind w:left="567" w:right="1695"/>
        <w:rPr>
          <w:rFonts w:ascii="Arial" w:eastAsia="Arial" w:hAnsi="Arial" w:cs="Arial"/>
        </w:rPr>
      </w:pPr>
    </w:p>
    <w:p w14:paraId="17AF167B" w14:textId="77777777" w:rsidR="00F17946" w:rsidRPr="00F17946" w:rsidRDefault="00F17946" w:rsidP="00F17946">
      <w:pPr>
        <w:spacing w:after="120" w:line="360" w:lineRule="auto"/>
        <w:ind w:left="567" w:right="1695"/>
        <w:rPr>
          <w:rFonts w:ascii="Arial" w:eastAsia="Arial" w:hAnsi="Arial" w:cs="Arial"/>
          <w:b/>
          <w:bCs/>
        </w:rPr>
      </w:pPr>
      <w:proofErr w:type="spellStart"/>
      <w:r>
        <w:rPr>
          <w:rFonts w:ascii="Arial" w:hAnsi="Arial"/>
          <w:b/>
        </w:rPr>
        <w:lastRenderedPageBreak/>
        <w:t>SynCrop</w:t>
      </w:r>
      <w:proofErr w:type="spellEnd"/>
      <w:r>
        <w:rPr>
          <w:rFonts w:ascii="Arial" w:hAnsi="Arial"/>
          <w:b/>
        </w:rPr>
        <w:t xml:space="preserve"> pour la semence et l’engrais</w:t>
      </w:r>
    </w:p>
    <w:p w14:paraId="32FE1A8A" w14:textId="77777777" w:rsidR="00F17946" w:rsidRPr="00F17946" w:rsidRDefault="00F17946" w:rsidP="00F17946">
      <w:pPr>
        <w:spacing w:after="120" w:line="360" w:lineRule="auto"/>
        <w:ind w:left="567" w:right="1695"/>
        <w:rPr>
          <w:rFonts w:ascii="Arial" w:eastAsia="Arial" w:hAnsi="Arial" w:cs="Arial"/>
        </w:rPr>
      </w:pPr>
      <w:r>
        <w:rPr>
          <w:rFonts w:ascii="Arial" w:hAnsi="Arial"/>
        </w:rPr>
        <w:t xml:space="preserve">La nouvelle solution logicielle </w:t>
      </w:r>
      <w:proofErr w:type="spellStart"/>
      <w:r>
        <w:rPr>
          <w:rFonts w:ascii="Arial" w:hAnsi="Arial"/>
        </w:rPr>
        <w:t>SynCrop</w:t>
      </w:r>
      <w:proofErr w:type="spellEnd"/>
      <w:r>
        <w:rPr>
          <w:rFonts w:ascii="Arial" w:hAnsi="Arial"/>
        </w:rPr>
        <w:t xml:space="preserve"> pour la synchronisation entre les rangs de l’implantation de la semence et de l’engrais, en triangle ou en bloc, sera à disposition à partir du printemps 2026.</w:t>
      </w:r>
    </w:p>
    <w:p w14:paraId="594D0044" w14:textId="77777777" w:rsidR="00F17946" w:rsidRPr="00F17946" w:rsidRDefault="00F17946" w:rsidP="00F17946">
      <w:pPr>
        <w:spacing w:after="120" w:line="360" w:lineRule="auto"/>
        <w:ind w:left="567" w:right="1695"/>
        <w:rPr>
          <w:rFonts w:ascii="Arial" w:eastAsia="Arial" w:hAnsi="Arial" w:cs="Arial"/>
        </w:rPr>
      </w:pPr>
    </w:p>
    <w:p w14:paraId="7A100C43" w14:textId="77777777" w:rsidR="00F17946" w:rsidRPr="00F17946" w:rsidRDefault="00F17946" w:rsidP="00F17946">
      <w:pPr>
        <w:spacing w:after="120" w:line="360" w:lineRule="auto"/>
        <w:ind w:left="567" w:right="1695"/>
        <w:rPr>
          <w:rFonts w:ascii="Arial" w:eastAsia="Arial" w:hAnsi="Arial" w:cs="Arial"/>
        </w:rPr>
      </w:pPr>
      <w:r>
        <w:rPr>
          <w:rFonts w:ascii="Arial" w:hAnsi="Arial"/>
        </w:rPr>
        <w:t>La synchronisation entre les rangs des éléments semeurs permet d’appliquer la semence et l’engrais en triangle ou en bloc. L’écart entre les plantes est maximisé et la répartition est optimisée. La disponibilité des substances nutritives, de la lumière, de l’eau et de l’air est améliorée pour chaque plante.</w:t>
      </w:r>
    </w:p>
    <w:p w14:paraId="54B36531" w14:textId="77777777" w:rsidR="00F17946" w:rsidRPr="00F17946" w:rsidRDefault="00F17946" w:rsidP="00F17946">
      <w:pPr>
        <w:spacing w:after="120" w:line="360" w:lineRule="auto"/>
        <w:ind w:left="567" w:right="1695"/>
        <w:rPr>
          <w:rFonts w:ascii="Arial" w:eastAsia="Arial" w:hAnsi="Arial" w:cs="Arial"/>
        </w:rPr>
      </w:pPr>
    </w:p>
    <w:p w14:paraId="013DF693" w14:textId="77777777" w:rsidR="00F17946" w:rsidRPr="00F17946" w:rsidRDefault="00F17946" w:rsidP="00F17946">
      <w:pPr>
        <w:spacing w:after="120" w:line="360" w:lineRule="auto"/>
        <w:ind w:left="567" w:right="1695"/>
        <w:rPr>
          <w:rFonts w:ascii="Arial" w:eastAsia="Arial" w:hAnsi="Arial" w:cs="Arial"/>
        </w:rPr>
      </w:pPr>
      <w:r>
        <w:rPr>
          <w:rFonts w:ascii="Arial" w:hAnsi="Arial"/>
        </w:rPr>
        <w:t>La meilleure mise à disposition des nutriments favorise une accélération de la croissance des feuilles et du recouvrement des rangs. Le sol dans l'espace intermédiaire est plus vite à l’ombre et la pousse des adventices est limitée plus efficacement. Les plants de maïs à un stade juvénile en profitent particulièrement.</w:t>
      </w:r>
    </w:p>
    <w:p w14:paraId="41291CD9" w14:textId="77777777" w:rsidR="00F17946" w:rsidRPr="00F17946" w:rsidRDefault="00F17946" w:rsidP="00F17946">
      <w:pPr>
        <w:spacing w:after="120" w:line="360" w:lineRule="auto"/>
        <w:ind w:left="567" w:right="1695"/>
        <w:rPr>
          <w:rFonts w:ascii="Arial" w:eastAsia="Arial" w:hAnsi="Arial" w:cs="Arial"/>
        </w:rPr>
      </w:pPr>
    </w:p>
    <w:p w14:paraId="61449A8E" w14:textId="77777777" w:rsidR="00F17946" w:rsidRPr="00F17946" w:rsidRDefault="00F17946" w:rsidP="00F17946">
      <w:pPr>
        <w:spacing w:after="120" w:line="360" w:lineRule="auto"/>
        <w:ind w:left="567" w:right="1695"/>
        <w:rPr>
          <w:rFonts w:ascii="Arial" w:eastAsia="Arial" w:hAnsi="Arial" w:cs="Arial"/>
        </w:rPr>
      </w:pPr>
      <w:r>
        <w:rPr>
          <w:rFonts w:ascii="Arial" w:hAnsi="Arial"/>
        </w:rPr>
        <w:t>La lumière du soleil est utilisée au mieux grâce à la disposition des plantes en triangle, tandis que l’érosion du sol est réduite sur les pentes.</w:t>
      </w:r>
    </w:p>
    <w:p w14:paraId="1FEA2A35" w14:textId="77777777" w:rsidR="00F17946" w:rsidRPr="00F17946" w:rsidRDefault="00F17946" w:rsidP="00F17946">
      <w:pPr>
        <w:spacing w:after="120" w:line="360" w:lineRule="auto"/>
        <w:ind w:left="567" w:right="1695"/>
        <w:rPr>
          <w:rFonts w:ascii="Arial" w:eastAsia="Arial" w:hAnsi="Arial" w:cs="Arial"/>
        </w:rPr>
      </w:pPr>
    </w:p>
    <w:p w14:paraId="7561E6F4" w14:textId="73F0DDC7" w:rsidR="00F17946" w:rsidRPr="00F17946" w:rsidRDefault="00F17946" w:rsidP="00F17946">
      <w:pPr>
        <w:spacing w:after="120" w:line="360" w:lineRule="auto"/>
        <w:ind w:left="567" w:right="1695"/>
        <w:rPr>
          <w:rFonts w:ascii="Arial" w:eastAsia="Arial" w:hAnsi="Arial" w:cs="Arial"/>
          <w:b/>
          <w:bCs/>
        </w:rPr>
      </w:pPr>
      <w:r>
        <w:rPr>
          <w:rFonts w:ascii="Arial" w:hAnsi="Arial"/>
          <w:b/>
        </w:rPr>
        <w:t>Combiné pour une nouvelle dimension en termes de précision</w:t>
      </w:r>
    </w:p>
    <w:p w14:paraId="47E60538" w14:textId="77777777" w:rsidR="00F17946" w:rsidRPr="00F17946" w:rsidRDefault="00F17946" w:rsidP="00F17946">
      <w:pPr>
        <w:spacing w:after="120" w:line="360" w:lineRule="auto"/>
        <w:ind w:left="567" w:right="1695"/>
        <w:rPr>
          <w:rFonts w:ascii="Arial" w:eastAsia="Arial" w:hAnsi="Arial" w:cs="Arial"/>
        </w:rPr>
      </w:pPr>
      <w:r>
        <w:rPr>
          <w:rFonts w:ascii="Arial" w:hAnsi="Arial"/>
        </w:rPr>
        <w:t xml:space="preserve">Associer le système de dosage d’engrais </w:t>
      </w:r>
      <w:proofErr w:type="spellStart"/>
      <w:r>
        <w:rPr>
          <w:rFonts w:ascii="Arial" w:hAnsi="Arial"/>
        </w:rPr>
        <w:t>FertiSpot</w:t>
      </w:r>
      <w:proofErr w:type="spellEnd"/>
      <w:r>
        <w:rPr>
          <w:rFonts w:ascii="Arial" w:hAnsi="Arial"/>
        </w:rPr>
        <w:t xml:space="preserve">, la coupure par rang pour l’application d’engrais via Section Control, la répartition précise des plantes sur le rang avec </w:t>
      </w:r>
      <w:proofErr w:type="spellStart"/>
      <w:r>
        <w:rPr>
          <w:rFonts w:ascii="Arial" w:hAnsi="Arial"/>
        </w:rPr>
        <w:t>CurveControl</w:t>
      </w:r>
      <w:proofErr w:type="spellEnd"/>
      <w:r>
        <w:rPr>
          <w:rFonts w:ascii="Arial" w:hAnsi="Arial"/>
        </w:rPr>
        <w:t xml:space="preserve"> et la disposition des plantes en triangle ou en bloc avec </w:t>
      </w:r>
      <w:proofErr w:type="spellStart"/>
      <w:r>
        <w:rPr>
          <w:rFonts w:ascii="Arial" w:hAnsi="Arial"/>
        </w:rPr>
        <w:t>SynCrop</w:t>
      </w:r>
      <w:proofErr w:type="spellEnd"/>
      <w:r>
        <w:rPr>
          <w:rFonts w:ascii="Arial" w:hAnsi="Arial"/>
        </w:rPr>
        <w:t xml:space="preserve"> représente une nouvelle dimension en termes de précision du semis </w:t>
      </w:r>
      <w:proofErr w:type="spellStart"/>
      <w:r>
        <w:rPr>
          <w:rFonts w:ascii="Arial" w:hAnsi="Arial"/>
        </w:rPr>
        <w:t>monograine</w:t>
      </w:r>
      <w:proofErr w:type="spellEnd"/>
      <w:r>
        <w:rPr>
          <w:rFonts w:ascii="Arial" w:hAnsi="Arial"/>
        </w:rPr>
        <w:t>.</w:t>
      </w:r>
    </w:p>
    <w:p w14:paraId="5E630272" w14:textId="77777777" w:rsidR="00F17946" w:rsidRPr="00F17946" w:rsidRDefault="00F17946" w:rsidP="00F17946">
      <w:pPr>
        <w:spacing w:after="120" w:line="360" w:lineRule="auto"/>
        <w:ind w:left="567" w:right="1695"/>
        <w:rPr>
          <w:rFonts w:ascii="Arial" w:eastAsia="Arial" w:hAnsi="Arial" w:cs="Arial"/>
        </w:rPr>
      </w:pPr>
    </w:p>
    <w:p w14:paraId="1761A5BC" w14:textId="77777777" w:rsidR="00F17946" w:rsidRPr="00F17946" w:rsidRDefault="00F17946" w:rsidP="00F17946">
      <w:pPr>
        <w:spacing w:after="120" w:line="360" w:lineRule="auto"/>
        <w:ind w:left="567" w:right="1695"/>
        <w:rPr>
          <w:rFonts w:ascii="Arial" w:eastAsia="Arial" w:hAnsi="Arial" w:cs="Arial"/>
        </w:rPr>
      </w:pPr>
      <w:r>
        <w:rPr>
          <w:rFonts w:ascii="Arial" w:hAnsi="Arial"/>
        </w:rPr>
        <w:t xml:space="preserve">Combiner intelligemment les différentes fonctions permet de réaliser une économie globale d’engrais jusqu’à 30 %. Le poquet d’engrais précis au niveau de la plante garantit également le potentiel de rendement et la gestion de la </w:t>
      </w:r>
      <w:r>
        <w:rPr>
          <w:rFonts w:ascii="Arial" w:hAnsi="Arial"/>
        </w:rPr>
        <w:lastRenderedPageBreak/>
        <w:t>culture est optimisée par un développement aussi homogène que possible des plantes.</w:t>
      </w:r>
    </w:p>
    <w:p w14:paraId="181FDA5E" w14:textId="77777777" w:rsidR="00F17946" w:rsidRPr="00F17946" w:rsidRDefault="00F17946" w:rsidP="00F17946">
      <w:pPr>
        <w:spacing w:after="120" w:line="360" w:lineRule="auto"/>
        <w:ind w:left="567" w:right="1695"/>
        <w:rPr>
          <w:rFonts w:ascii="Arial" w:eastAsia="Arial" w:hAnsi="Arial" w:cs="Arial"/>
        </w:rPr>
      </w:pPr>
    </w:p>
    <w:p w14:paraId="1908FD0D" w14:textId="77777777" w:rsidR="00F17946" w:rsidRPr="00F17946" w:rsidRDefault="00F17946" w:rsidP="00F17946">
      <w:pPr>
        <w:spacing w:after="120" w:line="360" w:lineRule="auto"/>
        <w:ind w:left="567" w:right="1695"/>
        <w:rPr>
          <w:rFonts w:ascii="Arial" w:eastAsia="Arial" w:hAnsi="Arial" w:cs="Arial"/>
        </w:rPr>
      </w:pPr>
      <w:r>
        <w:rPr>
          <w:rFonts w:ascii="Arial" w:hAnsi="Arial"/>
        </w:rPr>
        <w:t xml:space="preserve">Le système apporte une valeur ajoutée sur le plan économique en raison de l’économie importante d’engrais jusqu’à 30 %. L’économie d’engrais réduit également les coûts logistiques, le volume d'engrais à approvisionner étant moins élevé durant le chantier. L’allègement du travail est donc considérable car les remplissages nécessaires par hectare sont réduits. </w:t>
      </w:r>
    </w:p>
    <w:p w14:paraId="08E09858" w14:textId="77777777" w:rsidR="00F17946" w:rsidRPr="00F17946" w:rsidRDefault="00F17946" w:rsidP="00F17946">
      <w:pPr>
        <w:spacing w:after="120" w:line="360" w:lineRule="auto"/>
        <w:ind w:left="567" w:right="1695"/>
        <w:rPr>
          <w:rFonts w:ascii="Arial" w:eastAsia="Arial" w:hAnsi="Arial" w:cs="Arial"/>
        </w:rPr>
      </w:pPr>
    </w:p>
    <w:p w14:paraId="2B41196C" w14:textId="77777777" w:rsidR="00F17946" w:rsidRPr="00F17946" w:rsidRDefault="00F17946" w:rsidP="00F17946">
      <w:pPr>
        <w:spacing w:after="120" w:line="360" w:lineRule="auto"/>
        <w:ind w:left="567" w:right="1695"/>
        <w:rPr>
          <w:rFonts w:ascii="Arial" w:eastAsia="Arial" w:hAnsi="Arial" w:cs="Arial"/>
        </w:rPr>
      </w:pPr>
      <w:r>
        <w:rPr>
          <w:rFonts w:ascii="Arial" w:hAnsi="Arial"/>
        </w:rPr>
        <w:t>Compte tenu de la décomposition longue et énergivore des nutriments, tels que le phosphate, la réduction d’apport d'engrais limite l'impact sur l'environnement. Par ailleurs, l’utilisation plus efficace de ces matières premières assure une meilleure protection des eaux.</w:t>
      </w:r>
    </w:p>
    <w:p w14:paraId="7B791993" w14:textId="77777777" w:rsidR="00F17946" w:rsidRPr="00F17946" w:rsidRDefault="00F17946" w:rsidP="00F17946">
      <w:pPr>
        <w:spacing w:after="120" w:line="360" w:lineRule="auto"/>
        <w:ind w:left="567" w:right="1695"/>
        <w:rPr>
          <w:rFonts w:ascii="Arial" w:eastAsia="Arial" w:hAnsi="Arial" w:cs="Arial"/>
        </w:rPr>
      </w:pPr>
    </w:p>
    <w:p w14:paraId="21631CC1" w14:textId="6FD71855" w:rsidR="006676C1" w:rsidRDefault="00F17946" w:rsidP="00F17946">
      <w:pPr>
        <w:spacing w:after="120" w:line="360" w:lineRule="auto"/>
        <w:ind w:left="567" w:right="1695"/>
        <w:rPr>
          <w:rFonts w:ascii="Arial" w:eastAsia="Arial" w:hAnsi="Arial" w:cs="Arial"/>
        </w:rPr>
      </w:pPr>
      <w:r>
        <w:rPr>
          <w:rFonts w:ascii="Arial" w:hAnsi="Arial"/>
        </w:rPr>
        <w:t xml:space="preserve">Les nouvelles commandes de </w:t>
      </w:r>
      <w:proofErr w:type="spellStart"/>
      <w:r>
        <w:rPr>
          <w:rFonts w:ascii="Arial" w:hAnsi="Arial"/>
        </w:rPr>
        <w:t>Precea</w:t>
      </w:r>
      <w:proofErr w:type="spellEnd"/>
      <w:r>
        <w:rPr>
          <w:rFonts w:ascii="Arial" w:hAnsi="Arial"/>
        </w:rPr>
        <w:t xml:space="preserve"> peuvent être associées aux systèmes Section Control avec coupure individuelle de rang, à </w:t>
      </w:r>
      <w:proofErr w:type="spellStart"/>
      <w:r>
        <w:rPr>
          <w:rFonts w:ascii="Arial" w:hAnsi="Arial"/>
        </w:rPr>
        <w:t>FertiSpot</w:t>
      </w:r>
      <w:proofErr w:type="spellEnd"/>
      <w:r>
        <w:rPr>
          <w:rFonts w:ascii="Arial" w:hAnsi="Arial"/>
        </w:rPr>
        <w:t xml:space="preserve"> jusqu’à 12 rangs, à </w:t>
      </w:r>
      <w:proofErr w:type="spellStart"/>
      <w:r>
        <w:rPr>
          <w:rFonts w:ascii="Arial" w:hAnsi="Arial"/>
        </w:rPr>
        <w:t>CurveControl</w:t>
      </w:r>
      <w:proofErr w:type="spellEnd"/>
      <w:r>
        <w:rPr>
          <w:rFonts w:ascii="Arial" w:hAnsi="Arial"/>
        </w:rPr>
        <w:t xml:space="preserve"> et au logiciel pour l’application en triangle. Les machines de l’année de construction 2025 sont conçues pour l’équipement ultérieur de tous ces systèmes.</w:t>
      </w:r>
    </w:p>
    <w:p w14:paraId="01A5979D" w14:textId="77777777" w:rsidR="00F17946" w:rsidRPr="00F17946" w:rsidRDefault="00F17946" w:rsidP="00F17946">
      <w:pPr>
        <w:spacing w:after="120" w:line="360" w:lineRule="auto"/>
        <w:ind w:left="567" w:right="1695"/>
        <w:rPr>
          <w:rFonts w:ascii="Arial" w:eastAsia="Arial" w:hAnsi="Arial" w:cs="Arial"/>
        </w:rPr>
      </w:pPr>
    </w:p>
    <w:p w14:paraId="195FF01F" w14:textId="77777777" w:rsidR="00AE1395" w:rsidRDefault="00AE1395" w:rsidP="00ED4605">
      <w:pPr>
        <w:spacing w:after="120" w:line="360" w:lineRule="auto"/>
        <w:ind w:left="567" w:right="1695"/>
        <w:rPr>
          <w:rFonts w:ascii="Arial" w:eastAsia="Arial" w:hAnsi="Arial" w:cs="Arial"/>
        </w:rPr>
      </w:pPr>
    </w:p>
    <w:p w14:paraId="56123F47" w14:textId="21D78BE6" w:rsidR="00532DA0" w:rsidRDefault="00532DA0" w:rsidP="00F4316E">
      <w:pPr>
        <w:spacing w:after="120" w:line="360" w:lineRule="auto"/>
        <w:ind w:left="567" w:right="1695"/>
        <w:rPr>
          <w:rFonts w:ascii="Arial" w:eastAsia="Arial" w:hAnsi="Arial" w:cs="Arial"/>
        </w:rPr>
      </w:pPr>
      <w:r>
        <w:rPr>
          <w:rFonts w:ascii="Arial" w:hAnsi="Arial"/>
          <w:noProof/>
        </w:rPr>
        <w:drawing>
          <wp:inline distT="0" distB="0" distL="0" distR="0" wp14:anchorId="651EB7D1" wp14:editId="667EAEC8">
            <wp:extent cx="2514600" cy="990600"/>
            <wp:effectExtent l="0" t="0" r="0" b="0"/>
            <wp:docPr id="337735261"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735261" name="Grafik 337735261"/>
                    <pic:cNvPicPr/>
                  </pic:nvPicPr>
                  <pic:blipFill>
                    <a:blip r:embed="rId8" cstate="print">
                      <a:extLst>
                        <a:ext uri="{28A0092B-C50C-407E-A947-70E740481C1C}">
                          <a14:useLocalDpi xmlns:a14="http://schemas.microsoft.com/office/drawing/2010/main" val="0"/>
                        </a:ext>
                      </a:extLst>
                    </a:blip>
                    <a:stretch>
                      <a:fillRect/>
                    </a:stretch>
                  </pic:blipFill>
                  <pic:spPr>
                    <a:xfrm>
                      <a:off x="0" y="0"/>
                      <a:ext cx="2514600" cy="990600"/>
                    </a:xfrm>
                    <a:prstGeom prst="rect">
                      <a:avLst/>
                    </a:prstGeom>
                  </pic:spPr>
                </pic:pic>
              </a:graphicData>
            </a:graphic>
          </wp:inline>
        </w:drawing>
      </w:r>
    </w:p>
    <w:p w14:paraId="1D4BCCA6" w14:textId="4A3C04D5" w:rsidR="00F17946" w:rsidRPr="00F17946" w:rsidRDefault="00F17946" w:rsidP="00F17946">
      <w:pPr>
        <w:pStyle w:val="Listenabsatz"/>
        <w:numPr>
          <w:ilvl w:val="0"/>
          <w:numId w:val="43"/>
        </w:numPr>
        <w:spacing w:after="120" w:line="360" w:lineRule="auto"/>
        <w:ind w:right="1695"/>
        <w:rPr>
          <w:rFonts w:ascii="Arial" w:eastAsia="Arial" w:hAnsi="Arial" w:cs="Arial"/>
          <w:b/>
          <w:bCs/>
        </w:rPr>
      </w:pPr>
      <w:r>
        <w:rPr>
          <w:rFonts w:ascii="Arial" w:hAnsi="Arial"/>
          <w:b/>
        </w:rPr>
        <w:t xml:space="preserve">Préservation des ressources : </w:t>
      </w:r>
      <w:r>
        <w:rPr>
          <w:rFonts w:ascii="Arial" w:hAnsi="Arial"/>
        </w:rPr>
        <w:t>Un semis en excès est évité grâce à un travail précis en fourrière ou sur les pointes. L’engrais et la semence sont économisés et les coûts diminuent.</w:t>
      </w:r>
    </w:p>
    <w:p w14:paraId="7FF6CB47" w14:textId="118FBAFA" w:rsidR="00F17946" w:rsidRPr="00F17946" w:rsidRDefault="00F17946" w:rsidP="00F17946">
      <w:pPr>
        <w:pStyle w:val="Listenabsatz"/>
        <w:numPr>
          <w:ilvl w:val="0"/>
          <w:numId w:val="43"/>
        </w:numPr>
        <w:spacing w:after="120" w:line="360" w:lineRule="auto"/>
        <w:ind w:right="1695"/>
        <w:rPr>
          <w:rFonts w:ascii="Arial" w:eastAsia="Arial" w:hAnsi="Arial" w:cs="Arial"/>
          <w:b/>
          <w:bCs/>
        </w:rPr>
      </w:pPr>
      <w:r>
        <w:rPr>
          <w:rFonts w:ascii="Arial" w:hAnsi="Arial"/>
          <w:b/>
        </w:rPr>
        <w:lastRenderedPageBreak/>
        <w:t xml:space="preserve">Apport efficace d’engrais : </w:t>
      </w:r>
      <w:r>
        <w:rPr>
          <w:rFonts w:ascii="Arial" w:hAnsi="Arial"/>
        </w:rPr>
        <w:t>Une application excessive est évitée grâce au dosage précis et à une implantation précise de l’engrais pour chaque semence.</w:t>
      </w:r>
    </w:p>
    <w:p w14:paraId="1AED76EB" w14:textId="614217E5" w:rsidR="006676C1" w:rsidRDefault="00F17946" w:rsidP="00F17946">
      <w:pPr>
        <w:pStyle w:val="Listenabsatz"/>
        <w:numPr>
          <w:ilvl w:val="0"/>
          <w:numId w:val="43"/>
        </w:numPr>
        <w:spacing w:after="120" w:line="360" w:lineRule="auto"/>
        <w:ind w:right="1695"/>
        <w:rPr>
          <w:rFonts w:ascii="Arial" w:eastAsia="Arial" w:hAnsi="Arial" w:cs="Arial"/>
        </w:rPr>
      </w:pPr>
      <w:r>
        <w:rPr>
          <w:rFonts w:ascii="Arial" w:hAnsi="Arial"/>
          <w:b/>
        </w:rPr>
        <w:t xml:space="preserve">Économique : </w:t>
      </w:r>
      <w:r>
        <w:rPr>
          <w:rFonts w:ascii="Arial" w:hAnsi="Arial"/>
        </w:rPr>
        <w:t xml:space="preserve">En associant </w:t>
      </w:r>
      <w:proofErr w:type="spellStart"/>
      <w:r>
        <w:rPr>
          <w:rFonts w:ascii="Arial" w:hAnsi="Arial"/>
        </w:rPr>
        <w:t>SynCrop</w:t>
      </w:r>
      <w:proofErr w:type="spellEnd"/>
      <w:r>
        <w:rPr>
          <w:rFonts w:ascii="Arial" w:hAnsi="Arial"/>
        </w:rPr>
        <w:t xml:space="preserve">, </w:t>
      </w:r>
      <w:proofErr w:type="spellStart"/>
      <w:r>
        <w:rPr>
          <w:rFonts w:ascii="Arial" w:hAnsi="Arial"/>
        </w:rPr>
        <w:t>FertiSpot</w:t>
      </w:r>
      <w:proofErr w:type="spellEnd"/>
      <w:r>
        <w:rPr>
          <w:rFonts w:ascii="Arial" w:hAnsi="Arial"/>
        </w:rPr>
        <w:t xml:space="preserve">, Section Control et </w:t>
      </w:r>
      <w:proofErr w:type="spellStart"/>
      <w:r>
        <w:rPr>
          <w:rFonts w:ascii="Arial" w:hAnsi="Arial"/>
        </w:rPr>
        <w:t>CurveControl</w:t>
      </w:r>
      <w:proofErr w:type="spellEnd"/>
      <w:r>
        <w:rPr>
          <w:rFonts w:ascii="Arial" w:hAnsi="Arial"/>
        </w:rPr>
        <w:t>, on obtient des économies d’engrais jusqu’à 30 %.</w:t>
      </w:r>
    </w:p>
    <w:p w14:paraId="56377AAA" w14:textId="77777777" w:rsidR="00C03ACD" w:rsidRDefault="00C03ACD" w:rsidP="00C03ACD">
      <w:pPr>
        <w:spacing w:after="120" w:line="360" w:lineRule="auto"/>
        <w:ind w:right="1695"/>
        <w:rPr>
          <w:rFonts w:ascii="Arial" w:eastAsia="Arial" w:hAnsi="Arial" w:cs="Arial"/>
        </w:rPr>
      </w:pPr>
    </w:p>
    <w:p w14:paraId="1833AC68" w14:textId="77777777" w:rsidR="00C03ACD" w:rsidRPr="00F17946" w:rsidRDefault="00C03ACD" w:rsidP="00C03ACD">
      <w:pPr>
        <w:spacing w:after="120" w:line="360" w:lineRule="auto"/>
        <w:ind w:left="567" w:right="1695"/>
        <w:rPr>
          <w:rFonts w:ascii="Arial" w:eastAsia="Arial" w:hAnsi="Arial" w:cs="Arial"/>
        </w:rPr>
      </w:pPr>
    </w:p>
    <w:p w14:paraId="1169BF91" w14:textId="77777777" w:rsidR="00C03ACD" w:rsidRDefault="00C03ACD" w:rsidP="00C03ACD">
      <w:pPr>
        <w:spacing w:after="120" w:line="360" w:lineRule="auto"/>
        <w:ind w:left="567" w:right="1695"/>
        <w:rPr>
          <w:rFonts w:ascii="Arial" w:eastAsia="Arial" w:hAnsi="Arial" w:cs="Arial"/>
        </w:rPr>
      </w:pPr>
    </w:p>
    <w:p w14:paraId="51D8B801" w14:textId="5947DBF6" w:rsidR="00C03ACD" w:rsidRDefault="00C03ACD" w:rsidP="00C03ACD">
      <w:pPr>
        <w:spacing w:after="120" w:line="360" w:lineRule="auto"/>
        <w:ind w:left="567" w:right="1695"/>
        <w:rPr>
          <w:rFonts w:ascii="Arial" w:eastAsia="Arial" w:hAnsi="Arial" w:cs="Arial"/>
        </w:rPr>
      </w:pPr>
      <w:r>
        <w:rPr>
          <w:rFonts w:ascii="Arial" w:hAnsi="Arial"/>
          <w:noProof/>
        </w:rPr>
        <w:drawing>
          <wp:inline distT="0" distB="0" distL="0" distR="0" wp14:anchorId="34CE46BB" wp14:editId="1E0BCB06">
            <wp:extent cx="3477600" cy="2880000"/>
            <wp:effectExtent l="0" t="0" r="2540" b="3175"/>
            <wp:docPr id="2031011098"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1011098" name="Grafik 2031011098"/>
                    <pic:cNvPicPr/>
                  </pic:nvPicPr>
                  <pic:blipFill>
                    <a:blip r:embed="rId9"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2925D9AC" w14:textId="6B7008E5" w:rsidR="00C03ACD" w:rsidRDefault="00C03ACD" w:rsidP="00C03ACD">
      <w:pPr>
        <w:spacing w:after="120" w:line="360" w:lineRule="auto"/>
        <w:ind w:left="567" w:right="1695"/>
        <w:rPr>
          <w:rFonts w:ascii="Arial" w:eastAsia="Arial" w:hAnsi="Arial" w:cs="Arial"/>
        </w:rPr>
      </w:pPr>
      <w:r>
        <w:rPr>
          <w:rFonts w:ascii="Arial" w:hAnsi="Arial"/>
        </w:rPr>
        <w:t xml:space="preserve">Semoir </w:t>
      </w:r>
      <w:proofErr w:type="spellStart"/>
      <w:r>
        <w:rPr>
          <w:rFonts w:ascii="Arial" w:hAnsi="Arial"/>
        </w:rPr>
        <w:t>monograine</w:t>
      </w:r>
      <w:proofErr w:type="spellEnd"/>
      <w:r>
        <w:rPr>
          <w:rFonts w:ascii="Arial" w:hAnsi="Arial"/>
        </w:rPr>
        <w:t xml:space="preserve"> </w:t>
      </w:r>
      <w:proofErr w:type="spellStart"/>
      <w:r>
        <w:rPr>
          <w:rFonts w:ascii="Arial" w:hAnsi="Arial"/>
        </w:rPr>
        <w:t>Precea</w:t>
      </w:r>
      <w:proofErr w:type="spellEnd"/>
      <w:r>
        <w:rPr>
          <w:rFonts w:ascii="Arial" w:hAnsi="Arial"/>
        </w:rPr>
        <w:t xml:space="preserve"> 6000-2FCC équipé de solutions novatrices pour une précision exceptionnelle de l’application harmonisée de la semence et de l’engrais</w:t>
      </w:r>
    </w:p>
    <w:p w14:paraId="073F8B53" w14:textId="77777777" w:rsidR="00C03ACD" w:rsidRDefault="00C03ACD" w:rsidP="00C03ACD">
      <w:pPr>
        <w:spacing w:after="120" w:line="360" w:lineRule="auto"/>
        <w:ind w:left="567" w:right="1695"/>
        <w:rPr>
          <w:rFonts w:ascii="Arial" w:eastAsia="Arial" w:hAnsi="Arial" w:cs="Arial"/>
        </w:rPr>
      </w:pPr>
    </w:p>
    <w:p w14:paraId="7FCA9756" w14:textId="77777777" w:rsidR="00C03ACD" w:rsidRDefault="00C03ACD" w:rsidP="00C03ACD">
      <w:pPr>
        <w:spacing w:after="120" w:line="360" w:lineRule="auto"/>
        <w:ind w:left="567" w:right="1695"/>
        <w:rPr>
          <w:rFonts w:ascii="Arial" w:eastAsia="Arial" w:hAnsi="Arial" w:cs="Arial"/>
        </w:rPr>
      </w:pPr>
    </w:p>
    <w:p w14:paraId="59FFA164" w14:textId="60DE6920" w:rsidR="00C03ACD" w:rsidRDefault="00C03ACD" w:rsidP="00C03ACD">
      <w:pPr>
        <w:spacing w:after="120" w:line="360" w:lineRule="auto"/>
        <w:ind w:left="567" w:right="1695"/>
        <w:rPr>
          <w:rFonts w:ascii="Arial" w:eastAsia="Arial" w:hAnsi="Arial" w:cs="Arial"/>
        </w:rPr>
      </w:pPr>
      <w:r>
        <w:rPr>
          <w:rFonts w:ascii="Arial" w:hAnsi="Arial"/>
          <w:noProof/>
        </w:rPr>
        <w:lastRenderedPageBreak/>
        <w:drawing>
          <wp:inline distT="0" distB="0" distL="0" distR="0" wp14:anchorId="4F73EDD4" wp14:editId="2B8164FB">
            <wp:extent cx="3834000" cy="2880000"/>
            <wp:effectExtent l="0" t="0" r="1905" b="3175"/>
            <wp:docPr id="115913123"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913123" name="Grafik 115913123"/>
                    <pic:cNvPicPr/>
                  </pic:nvPicPr>
                  <pic:blipFill>
                    <a:blip r:embed="rId10" cstate="print">
                      <a:extLst>
                        <a:ext uri="{28A0092B-C50C-407E-A947-70E740481C1C}">
                          <a14:useLocalDpi xmlns:a14="http://schemas.microsoft.com/office/drawing/2010/main" val="0"/>
                        </a:ext>
                      </a:extLst>
                    </a:blip>
                    <a:stretch>
                      <a:fillRect/>
                    </a:stretch>
                  </pic:blipFill>
                  <pic:spPr>
                    <a:xfrm>
                      <a:off x="0" y="0"/>
                      <a:ext cx="3834000" cy="2880000"/>
                    </a:xfrm>
                    <a:prstGeom prst="rect">
                      <a:avLst/>
                    </a:prstGeom>
                  </pic:spPr>
                </pic:pic>
              </a:graphicData>
            </a:graphic>
          </wp:inline>
        </w:drawing>
      </w:r>
    </w:p>
    <w:p w14:paraId="3C45F80E" w14:textId="77777777" w:rsidR="00C03ACD" w:rsidRPr="00C03ACD" w:rsidRDefault="00C03ACD" w:rsidP="00C03ACD">
      <w:pPr>
        <w:spacing w:after="120" w:line="360" w:lineRule="auto"/>
        <w:ind w:left="567" w:right="1695"/>
        <w:rPr>
          <w:rFonts w:ascii="Arial" w:eastAsia="Arial" w:hAnsi="Arial" w:cs="Arial"/>
        </w:rPr>
      </w:pPr>
      <w:r>
        <w:rPr>
          <w:rFonts w:ascii="Arial" w:hAnsi="Arial"/>
        </w:rPr>
        <w:t xml:space="preserve">Coupure rang par rang pour la gamme </w:t>
      </w:r>
      <w:proofErr w:type="spellStart"/>
      <w:r>
        <w:rPr>
          <w:rFonts w:ascii="Arial" w:hAnsi="Arial"/>
        </w:rPr>
        <w:t>Precea</w:t>
      </w:r>
      <w:proofErr w:type="spellEnd"/>
      <w:r>
        <w:rPr>
          <w:rFonts w:ascii="Arial" w:hAnsi="Arial"/>
        </w:rPr>
        <w:t xml:space="preserve"> </w:t>
      </w:r>
    </w:p>
    <w:p w14:paraId="74B7C6C4" w14:textId="77777777" w:rsidR="00C03ACD" w:rsidRDefault="00C03ACD" w:rsidP="00C03ACD">
      <w:pPr>
        <w:spacing w:after="120" w:line="360" w:lineRule="auto"/>
        <w:ind w:left="567" w:right="1695"/>
        <w:rPr>
          <w:rFonts w:ascii="Arial" w:eastAsia="Arial" w:hAnsi="Arial" w:cs="Arial"/>
        </w:rPr>
      </w:pPr>
    </w:p>
    <w:p w14:paraId="3F9A184D" w14:textId="1AAF72BE" w:rsidR="00C03ACD" w:rsidRDefault="00C03ACD" w:rsidP="00C03ACD">
      <w:pPr>
        <w:spacing w:after="120" w:line="360" w:lineRule="auto"/>
        <w:ind w:left="567" w:right="1695"/>
        <w:rPr>
          <w:rFonts w:ascii="Arial" w:eastAsia="Arial" w:hAnsi="Arial" w:cs="Arial"/>
        </w:rPr>
      </w:pPr>
      <w:r>
        <w:rPr>
          <w:rFonts w:ascii="Arial" w:hAnsi="Arial"/>
          <w:noProof/>
        </w:rPr>
        <w:drawing>
          <wp:inline distT="0" distB="0" distL="0" distR="0" wp14:anchorId="57D194DA" wp14:editId="4B26D335">
            <wp:extent cx="4064400" cy="2880000"/>
            <wp:effectExtent l="0" t="0" r="0" b="3175"/>
            <wp:docPr id="1765776369"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5776369" name="Grafik 1765776369"/>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71E1B65A" w14:textId="77777777" w:rsidR="00C03ACD" w:rsidRPr="00C03ACD" w:rsidRDefault="00C03ACD" w:rsidP="00C03ACD">
      <w:pPr>
        <w:spacing w:after="120" w:line="360" w:lineRule="auto"/>
        <w:ind w:left="567" w:right="1695"/>
        <w:rPr>
          <w:rFonts w:ascii="Arial" w:eastAsia="Arial" w:hAnsi="Arial" w:cs="Arial"/>
        </w:rPr>
      </w:pPr>
      <w:r>
        <w:rPr>
          <w:rFonts w:ascii="Arial" w:hAnsi="Arial"/>
        </w:rPr>
        <w:t xml:space="preserve">Tête de distribution segmentée avec retour de l’engrais pour une coupure précise, rapide </w:t>
      </w:r>
    </w:p>
    <w:p w14:paraId="2C8036F8" w14:textId="77777777" w:rsidR="00C03ACD" w:rsidRDefault="00C03ACD" w:rsidP="00C03ACD">
      <w:pPr>
        <w:spacing w:after="120" w:line="360" w:lineRule="auto"/>
        <w:ind w:left="567" w:right="1695"/>
        <w:rPr>
          <w:rFonts w:ascii="Arial" w:eastAsia="Arial" w:hAnsi="Arial" w:cs="Arial"/>
        </w:rPr>
      </w:pPr>
    </w:p>
    <w:p w14:paraId="6C44B79B" w14:textId="5678E984" w:rsidR="00C03ACD" w:rsidRDefault="00C03ACD" w:rsidP="00C03ACD">
      <w:pPr>
        <w:spacing w:after="120" w:line="360" w:lineRule="auto"/>
        <w:ind w:left="567" w:right="1695"/>
        <w:rPr>
          <w:rFonts w:ascii="Arial" w:eastAsia="Arial" w:hAnsi="Arial" w:cs="Arial"/>
        </w:rPr>
      </w:pPr>
      <w:r>
        <w:rPr>
          <w:rFonts w:ascii="Arial" w:hAnsi="Arial"/>
          <w:noProof/>
        </w:rPr>
        <w:lastRenderedPageBreak/>
        <w:drawing>
          <wp:inline distT="0" distB="0" distL="0" distR="0" wp14:anchorId="77A341FE" wp14:editId="1AA33A8B">
            <wp:extent cx="4064400" cy="2876244"/>
            <wp:effectExtent l="0" t="0" r="0" b="635"/>
            <wp:docPr id="491638824"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1638824" name="Grafik 13"/>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064400" cy="2876244"/>
                    </a:xfrm>
                    <a:prstGeom prst="rect">
                      <a:avLst/>
                    </a:prstGeom>
                  </pic:spPr>
                </pic:pic>
              </a:graphicData>
            </a:graphic>
          </wp:inline>
        </w:drawing>
      </w:r>
    </w:p>
    <w:p w14:paraId="5E52A0AE" w14:textId="3ADAB618" w:rsidR="00C03ACD" w:rsidRDefault="00C03ACD" w:rsidP="00C03ACD">
      <w:pPr>
        <w:spacing w:after="120" w:line="360" w:lineRule="auto"/>
        <w:ind w:left="567" w:right="1695"/>
        <w:rPr>
          <w:rFonts w:ascii="Arial" w:eastAsia="Arial" w:hAnsi="Arial" w:cs="Arial"/>
        </w:rPr>
      </w:pPr>
      <w:r>
        <w:rPr>
          <w:rFonts w:ascii="Arial" w:hAnsi="Arial"/>
        </w:rPr>
        <w:t xml:space="preserve">Les solutions novatrices pour l’application précise de la semence et de l’engrais avec le semoir </w:t>
      </w:r>
      <w:proofErr w:type="spellStart"/>
      <w:r>
        <w:rPr>
          <w:rFonts w:ascii="Arial" w:hAnsi="Arial"/>
        </w:rPr>
        <w:t>monograine</w:t>
      </w:r>
      <w:proofErr w:type="spellEnd"/>
      <w:r>
        <w:rPr>
          <w:rFonts w:ascii="Arial" w:hAnsi="Arial"/>
        </w:rPr>
        <w:t xml:space="preserve"> </w:t>
      </w:r>
      <w:proofErr w:type="spellStart"/>
      <w:r>
        <w:rPr>
          <w:rFonts w:ascii="Arial" w:hAnsi="Arial"/>
        </w:rPr>
        <w:t>Precea</w:t>
      </w:r>
      <w:proofErr w:type="spellEnd"/>
      <w:r>
        <w:rPr>
          <w:rFonts w:ascii="Arial" w:hAnsi="Arial"/>
        </w:rPr>
        <w:t xml:space="preserve"> offrent une compatibilité maximale</w:t>
      </w:r>
    </w:p>
    <w:p w14:paraId="556CDA2B" w14:textId="77777777" w:rsidR="00C03ACD" w:rsidRDefault="00C03ACD" w:rsidP="00C03ACD">
      <w:pPr>
        <w:spacing w:after="120" w:line="360" w:lineRule="auto"/>
        <w:ind w:left="567" w:right="1695"/>
        <w:rPr>
          <w:rFonts w:ascii="Arial" w:eastAsia="Arial" w:hAnsi="Arial" w:cs="Arial"/>
        </w:rPr>
      </w:pPr>
    </w:p>
    <w:p w14:paraId="6594938D" w14:textId="6EAFF927" w:rsidR="00C03ACD" w:rsidRDefault="00C03ACD" w:rsidP="00C03ACD">
      <w:pPr>
        <w:spacing w:after="120" w:line="360" w:lineRule="auto"/>
        <w:ind w:left="567" w:right="1695"/>
        <w:rPr>
          <w:rFonts w:ascii="Arial" w:eastAsia="Arial" w:hAnsi="Arial" w:cs="Arial"/>
        </w:rPr>
      </w:pPr>
      <w:r>
        <w:rPr>
          <w:rFonts w:ascii="Arial" w:hAnsi="Arial"/>
          <w:noProof/>
        </w:rPr>
        <w:lastRenderedPageBreak/>
        <w:drawing>
          <wp:inline distT="0" distB="0" distL="0" distR="0" wp14:anchorId="02B9DA02" wp14:editId="796A9C00">
            <wp:extent cx="4064400" cy="2880000"/>
            <wp:effectExtent l="0" t="0" r="0" b="3175"/>
            <wp:docPr id="756958205"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6958205" name="Grafik 756958205"/>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r>
        <w:rPr>
          <w:rFonts w:ascii="Arial" w:hAnsi="Arial"/>
          <w:noProof/>
        </w:rPr>
        <w:drawing>
          <wp:inline distT="0" distB="0" distL="0" distR="0" wp14:anchorId="6FF62F65" wp14:editId="43003128">
            <wp:extent cx="4064400" cy="2880000"/>
            <wp:effectExtent l="0" t="0" r="0" b="3175"/>
            <wp:docPr id="561632556"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1632556" name="Grafik 561632556"/>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269FC81F" w14:textId="77777777" w:rsidR="00C03ACD" w:rsidRPr="00C03ACD" w:rsidRDefault="00C03ACD" w:rsidP="00C03ACD">
      <w:pPr>
        <w:spacing w:after="120" w:line="360" w:lineRule="auto"/>
        <w:ind w:left="567" w:right="1695"/>
        <w:rPr>
          <w:rFonts w:ascii="Arial" w:eastAsia="Arial" w:hAnsi="Arial" w:cs="Arial"/>
        </w:rPr>
      </w:pPr>
      <w:r>
        <w:rPr>
          <w:rFonts w:ascii="Arial" w:hAnsi="Arial"/>
        </w:rPr>
        <w:t xml:space="preserve">Utilisation de </w:t>
      </w:r>
      <w:proofErr w:type="spellStart"/>
      <w:r>
        <w:rPr>
          <w:rFonts w:ascii="Arial" w:hAnsi="Arial"/>
        </w:rPr>
        <w:t>FertiSpot</w:t>
      </w:r>
      <w:proofErr w:type="spellEnd"/>
      <w:r>
        <w:rPr>
          <w:rFonts w:ascii="Arial" w:hAnsi="Arial"/>
        </w:rPr>
        <w:t> : dans le maïs, juste sous la graine, pour les betteraves sucrières entre les plants</w:t>
      </w:r>
    </w:p>
    <w:p w14:paraId="25052161" w14:textId="77777777" w:rsidR="00C03ACD" w:rsidRPr="00C03ACD" w:rsidRDefault="00C03ACD" w:rsidP="00C03ACD">
      <w:pPr>
        <w:spacing w:after="120" w:line="360" w:lineRule="auto"/>
        <w:ind w:left="567" w:right="1695"/>
        <w:rPr>
          <w:rFonts w:ascii="Arial" w:eastAsia="Arial" w:hAnsi="Arial" w:cs="Arial"/>
        </w:rPr>
      </w:pPr>
    </w:p>
    <w:p w14:paraId="1D1F7DE9" w14:textId="77777777" w:rsidR="00C03ACD" w:rsidRPr="00C03ACD" w:rsidRDefault="00C03ACD" w:rsidP="00C03ACD">
      <w:pPr>
        <w:spacing w:after="120" w:line="360" w:lineRule="auto"/>
        <w:ind w:left="567" w:right="1695"/>
        <w:rPr>
          <w:rFonts w:ascii="Arial" w:eastAsia="Arial" w:hAnsi="Arial" w:cs="Arial"/>
        </w:rPr>
      </w:pPr>
    </w:p>
    <w:p w14:paraId="001D3482" w14:textId="27A3AC87" w:rsidR="00C03ACD" w:rsidRDefault="00C03ACD" w:rsidP="00C03ACD">
      <w:pPr>
        <w:spacing w:after="120" w:line="360" w:lineRule="auto"/>
        <w:ind w:left="567" w:right="1695"/>
        <w:rPr>
          <w:rFonts w:ascii="Arial" w:eastAsia="Arial" w:hAnsi="Arial" w:cs="Arial"/>
        </w:rPr>
      </w:pPr>
      <w:r>
        <w:rPr>
          <w:rFonts w:ascii="Arial" w:hAnsi="Arial"/>
          <w:noProof/>
        </w:rPr>
        <w:lastRenderedPageBreak/>
        <w:drawing>
          <wp:inline distT="0" distB="0" distL="0" distR="0" wp14:anchorId="4D1E8A83" wp14:editId="1CD56E96">
            <wp:extent cx="3016800" cy="2880000"/>
            <wp:effectExtent l="0" t="0" r="6350" b="3175"/>
            <wp:docPr id="264586246"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586246" name="Grafik 264586246"/>
                    <pic:cNvPicPr/>
                  </pic:nvPicPr>
                  <pic:blipFill>
                    <a:blip r:embed="rId15" cstate="print">
                      <a:extLst>
                        <a:ext uri="{28A0092B-C50C-407E-A947-70E740481C1C}">
                          <a14:useLocalDpi xmlns:a14="http://schemas.microsoft.com/office/drawing/2010/main" val="0"/>
                        </a:ext>
                      </a:extLst>
                    </a:blip>
                    <a:stretch>
                      <a:fillRect/>
                    </a:stretch>
                  </pic:blipFill>
                  <pic:spPr>
                    <a:xfrm>
                      <a:off x="0" y="0"/>
                      <a:ext cx="3016800" cy="2880000"/>
                    </a:xfrm>
                    <a:prstGeom prst="rect">
                      <a:avLst/>
                    </a:prstGeom>
                  </pic:spPr>
                </pic:pic>
              </a:graphicData>
            </a:graphic>
          </wp:inline>
        </w:drawing>
      </w:r>
    </w:p>
    <w:p w14:paraId="6505A645" w14:textId="77777777" w:rsidR="00C03ACD" w:rsidRPr="00C03ACD" w:rsidRDefault="00C03ACD" w:rsidP="00C03ACD">
      <w:pPr>
        <w:spacing w:after="120" w:line="360" w:lineRule="auto"/>
        <w:ind w:left="567" w:right="1695"/>
        <w:rPr>
          <w:rFonts w:ascii="Arial" w:eastAsia="Arial" w:hAnsi="Arial" w:cs="Arial"/>
        </w:rPr>
      </w:pPr>
      <w:r>
        <w:rPr>
          <w:rFonts w:ascii="Arial" w:hAnsi="Arial"/>
        </w:rPr>
        <w:t xml:space="preserve">L’ailette du répartiteur de l’unité de dosage </w:t>
      </w:r>
      <w:proofErr w:type="spellStart"/>
      <w:r>
        <w:rPr>
          <w:rFonts w:ascii="Arial" w:hAnsi="Arial"/>
        </w:rPr>
        <w:t>FertiSpot</w:t>
      </w:r>
      <w:proofErr w:type="spellEnd"/>
      <w:r>
        <w:rPr>
          <w:rFonts w:ascii="Arial" w:hAnsi="Arial"/>
        </w:rPr>
        <w:t xml:space="preserve"> rassemble le volume d’engrais et le délivre sous forme de poquets.</w:t>
      </w:r>
    </w:p>
    <w:p w14:paraId="24C88859" w14:textId="77777777" w:rsidR="00C03ACD" w:rsidRPr="00C03ACD" w:rsidRDefault="00C03ACD" w:rsidP="00C03ACD">
      <w:pPr>
        <w:spacing w:after="120" w:line="360" w:lineRule="auto"/>
        <w:ind w:left="567" w:right="1695"/>
        <w:rPr>
          <w:rFonts w:ascii="Arial" w:eastAsia="Arial" w:hAnsi="Arial" w:cs="Arial"/>
        </w:rPr>
      </w:pPr>
      <w:r>
        <w:rPr>
          <w:rFonts w:ascii="Arial" w:hAnsi="Arial"/>
          <w:b/>
        </w:rPr>
        <w:t xml:space="preserve">1. </w:t>
      </w:r>
      <w:r>
        <w:rPr>
          <w:rFonts w:ascii="Arial" w:hAnsi="Arial"/>
        </w:rPr>
        <w:t xml:space="preserve">Trémie d'engrais : Implantation localisée de l'engrais </w:t>
      </w:r>
    </w:p>
    <w:p w14:paraId="3C238BA9" w14:textId="77777777" w:rsidR="00C03ACD" w:rsidRPr="00C03ACD" w:rsidRDefault="00C03ACD" w:rsidP="00C03ACD">
      <w:pPr>
        <w:spacing w:after="120" w:line="360" w:lineRule="auto"/>
        <w:ind w:left="567" w:right="1695"/>
        <w:rPr>
          <w:rFonts w:ascii="Arial" w:eastAsia="Arial" w:hAnsi="Arial" w:cs="Arial"/>
        </w:rPr>
      </w:pPr>
      <w:r>
        <w:rPr>
          <w:rFonts w:ascii="Arial" w:hAnsi="Arial"/>
          <w:b/>
        </w:rPr>
        <w:t>2.</w:t>
      </w:r>
      <w:r>
        <w:rPr>
          <w:rFonts w:ascii="Arial" w:hAnsi="Arial"/>
        </w:rPr>
        <w:t xml:space="preserve"> Doseur : Dosage de l’engrais</w:t>
      </w:r>
    </w:p>
    <w:p w14:paraId="3AB19741" w14:textId="77777777" w:rsidR="00C03ACD" w:rsidRPr="00C03ACD" w:rsidRDefault="00C03ACD" w:rsidP="00C03ACD">
      <w:pPr>
        <w:spacing w:after="120" w:line="360" w:lineRule="auto"/>
        <w:ind w:left="567" w:right="1695"/>
        <w:rPr>
          <w:rFonts w:ascii="Arial" w:eastAsia="Arial" w:hAnsi="Arial" w:cs="Arial"/>
        </w:rPr>
      </w:pPr>
      <w:r>
        <w:rPr>
          <w:rFonts w:ascii="Arial" w:hAnsi="Arial"/>
          <w:b/>
        </w:rPr>
        <w:t>3.</w:t>
      </w:r>
      <w:r>
        <w:rPr>
          <w:rFonts w:ascii="Arial" w:hAnsi="Arial"/>
        </w:rPr>
        <w:t xml:space="preserve"> Répartiteur : Répartition des poquets d’engrais </w:t>
      </w:r>
    </w:p>
    <w:p w14:paraId="52F6435A" w14:textId="4A046FAE" w:rsidR="00C03ACD" w:rsidRDefault="00C03ACD" w:rsidP="00C03ACD">
      <w:pPr>
        <w:spacing w:after="120" w:line="360" w:lineRule="auto"/>
        <w:ind w:left="567" w:right="1695"/>
        <w:rPr>
          <w:rFonts w:ascii="Arial" w:eastAsia="Arial" w:hAnsi="Arial" w:cs="Arial"/>
        </w:rPr>
      </w:pPr>
      <w:r>
        <w:rPr>
          <w:rFonts w:ascii="Arial" w:hAnsi="Arial"/>
          <w:b/>
        </w:rPr>
        <w:t>4.</w:t>
      </w:r>
      <w:r>
        <w:rPr>
          <w:rFonts w:ascii="Arial" w:hAnsi="Arial"/>
        </w:rPr>
        <w:t xml:space="preserve"> Disque fertiliseur : Incorporation dans le sol</w:t>
      </w:r>
    </w:p>
    <w:p w14:paraId="03177ED3" w14:textId="77777777" w:rsidR="00C03ACD" w:rsidRDefault="00C03ACD" w:rsidP="00C03ACD">
      <w:pPr>
        <w:spacing w:after="120" w:line="360" w:lineRule="auto"/>
        <w:ind w:left="567" w:right="1695"/>
        <w:rPr>
          <w:rFonts w:ascii="Arial" w:eastAsia="Arial" w:hAnsi="Arial" w:cs="Arial"/>
        </w:rPr>
      </w:pPr>
    </w:p>
    <w:p w14:paraId="57D20483" w14:textId="77777777" w:rsidR="00C03ACD" w:rsidRDefault="00C03ACD" w:rsidP="00C03ACD">
      <w:pPr>
        <w:spacing w:after="120" w:line="360" w:lineRule="auto"/>
        <w:ind w:left="567" w:right="1695"/>
        <w:rPr>
          <w:rFonts w:ascii="Arial" w:eastAsia="Arial" w:hAnsi="Arial" w:cs="Arial"/>
        </w:rPr>
      </w:pPr>
    </w:p>
    <w:p w14:paraId="01A656EA" w14:textId="77777777" w:rsidR="00C03ACD" w:rsidRDefault="00C03ACD" w:rsidP="00C03ACD">
      <w:pPr>
        <w:spacing w:after="120" w:line="360" w:lineRule="auto"/>
        <w:ind w:left="567" w:right="1695"/>
        <w:rPr>
          <w:rFonts w:ascii="Arial" w:eastAsia="Arial" w:hAnsi="Arial" w:cs="Arial"/>
        </w:rPr>
      </w:pPr>
    </w:p>
    <w:p w14:paraId="471608D6" w14:textId="78CEE668" w:rsidR="00C03ACD" w:rsidRDefault="00C03ACD" w:rsidP="00C03ACD">
      <w:pPr>
        <w:spacing w:after="120" w:line="360" w:lineRule="auto"/>
        <w:ind w:left="567" w:right="1695"/>
        <w:rPr>
          <w:rFonts w:ascii="Arial" w:eastAsia="Arial" w:hAnsi="Arial" w:cs="Arial"/>
        </w:rPr>
      </w:pPr>
      <w:r>
        <w:rPr>
          <w:rFonts w:ascii="Arial" w:hAnsi="Arial"/>
          <w:noProof/>
        </w:rPr>
        <w:lastRenderedPageBreak/>
        <w:drawing>
          <wp:inline distT="0" distB="0" distL="0" distR="0" wp14:anchorId="346A0D5B" wp14:editId="580D99E3">
            <wp:extent cx="4064400" cy="2880000"/>
            <wp:effectExtent l="0" t="0" r="0" b="3175"/>
            <wp:docPr id="2017787294"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7787294" name="Grafik 2017787294"/>
                    <pic:cNvPicPr/>
                  </pic:nvPicPr>
                  <pic:blipFill>
                    <a:blip r:embed="rId16"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7C80A2BA" w14:textId="77777777" w:rsidR="00C03ACD" w:rsidRDefault="00C03ACD" w:rsidP="00C03ACD">
      <w:pPr>
        <w:spacing w:after="120" w:line="360" w:lineRule="auto"/>
        <w:ind w:left="567" w:right="1695"/>
        <w:rPr>
          <w:rFonts w:ascii="Arial" w:eastAsia="Arial" w:hAnsi="Arial" w:cs="Arial"/>
        </w:rPr>
      </w:pPr>
      <w:proofErr w:type="spellStart"/>
      <w:r>
        <w:rPr>
          <w:rFonts w:ascii="Arial" w:hAnsi="Arial"/>
        </w:rPr>
        <w:t>MultiSpot</w:t>
      </w:r>
      <w:proofErr w:type="spellEnd"/>
      <w:r>
        <w:rPr>
          <w:rFonts w:ascii="Arial" w:hAnsi="Arial"/>
        </w:rPr>
        <w:t> : l’engrais est appliqué sous forme de nombreux petits poquets, par exemple dans le colza</w:t>
      </w:r>
    </w:p>
    <w:p w14:paraId="52DA810D" w14:textId="77777777" w:rsidR="00C03ACD" w:rsidRDefault="00C03ACD" w:rsidP="00C03ACD">
      <w:pPr>
        <w:spacing w:after="120" w:line="360" w:lineRule="auto"/>
        <w:ind w:left="567" w:right="1695"/>
        <w:rPr>
          <w:rFonts w:ascii="Arial" w:eastAsia="Arial" w:hAnsi="Arial" w:cs="Arial"/>
        </w:rPr>
      </w:pPr>
    </w:p>
    <w:p w14:paraId="4068A18B" w14:textId="77777777" w:rsidR="00C03ACD" w:rsidRDefault="00C03ACD" w:rsidP="00C03ACD">
      <w:pPr>
        <w:spacing w:after="120" w:line="360" w:lineRule="auto"/>
        <w:ind w:left="567" w:right="1695"/>
        <w:rPr>
          <w:rFonts w:ascii="Arial" w:eastAsia="Arial" w:hAnsi="Arial" w:cs="Arial"/>
        </w:rPr>
      </w:pPr>
    </w:p>
    <w:p w14:paraId="6704EA36" w14:textId="6BC96F3A" w:rsidR="00C03ACD" w:rsidRPr="00C03ACD" w:rsidRDefault="00C03ACD" w:rsidP="00C03ACD">
      <w:pPr>
        <w:spacing w:after="120" w:line="360" w:lineRule="auto"/>
        <w:ind w:left="567" w:right="1695"/>
        <w:rPr>
          <w:rFonts w:ascii="Arial" w:eastAsia="Arial" w:hAnsi="Arial" w:cs="Arial"/>
        </w:rPr>
      </w:pPr>
      <w:r>
        <w:rPr>
          <w:rFonts w:ascii="Arial" w:hAnsi="Arial"/>
          <w:noProof/>
        </w:rPr>
        <w:drawing>
          <wp:inline distT="0" distB="0" distL="0" distR="0" wp14:anchorId="29BCEEB2" wp14:editId="5939D4BD">
            <wp:extent cx="4064400" cy="2876244"/>
            <wp:effectExtent l="0" t="0" r="0" b="635"/>
            <wp:docPr id="1403844553"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3844553" name="Grafik 18"/>
                    <pic:cNvPicPr/>
                  </pic:nvPicPr>
                  <pic:blipFill>
                    <a:blip r:embed="rId17" cstate="print">
                      <a:extLst>
                        <a:ext uri="{28A0092B-C50C-407E-A947-70E740481C1C}">
                          <a14:useLocalDpi xmlns:a14="http://schemas.microsoft.com/office/drawing/2010/main" val="0"/>
                        </a:ext>
                      </a:extLst>
                    </a:blip>
                    <a:stretch>
                      <a:fillRect/>
                    </a:stretch>
                  </pic:blipFill>
                  <pic:spPr>
                    <a:xfrm>
                      <a:off x="0" y="0"/>
                      <a:ext cx="4064400" cy="2876244"/>
                    </a:xfrm>
                    <a:prstGeom prst="rect">
                      <a:avLst/>
                    </a:prstGeom>
                  </pic:spPr>
                </pic:pic>
              </a:graphicData>
            </a:graphic>
          </wp:inline>
        </w:drawing>
      </w:r>
    </w:p>
    <w:p w14:paraId="0610C9E5" w14:textId="77777777" w:rsidR="00C03ACD" w:rsidRPr="00C03ACD" w:rsidRDefault="00C03ACD" w:rsidP="00C03ACD">
      <w:pPr>
        <w:spacing w:after="120" w:line="360" w:lineRule="auto"/>
        <w:ind w:left="567" w:right="1695"/>
        <w:rPr>
          <w:rFonts w:ascii="Arial" w:eastAsia="Arial" w:hAnsi="Arial" w:cs="Arial"/>
        </w:rPr>
      </w:pPr>
      <w:r>
        <w:rPr>
          <w:rFonts w:ascii="Arial" w:hAnsi="Arial"/>
        </w:rPr>
        <w:t>Application précise de l’engrais, même dans les courbes</w:t>
      </w:r>
    </w:p>
    <w:p w14:paraId="1F44E031" w14:textId="77777777" w:rsidR="00C03ACD" w:rsidRDefault="00C03ACD" w:rsidP="00C03ACD">
      <w:pPr>
        <w:spacing w:after="120" w:line="360" w:lineRule="auto"/>
        <w:ind w:left="567" w:right="1695"/>
        <w:rPr>
          <w:rFonts w:ascii="Arial" w:eastAsia="Arial" w:hAnsi="Arial" w:cs="Arial"/>
        </w:rPr>
      </w:pPr>
    </w:p>
    <w:p w14:paraId="5C876D2E" w14:textId="77777777" w:rsidR="00C03ACD" w:rsidRDefault="00C03ACD" w:rsidP="00C03ACD">
      <w:pPr>
        <w:spacing w:after="120" w:line="360" w:lineRule="auto"/>
        <w:ind w:left="567" w:right="1695"/>
        <w:rPr>
          <w:rFonts w:ascii="Arial" w:eastAsia="Arial" w:hAnsi="Arial" w:cs="Arial"/>
        </w:rPr>
      </w:pPr>
    </w:p>
    <w:p w14:paraId="57F0041F" w14:textId="63C196E7" w:rsidR="00C03ACD" w:rsidRDefault="00C03ACD" w:rsidP="00C03ACD">
      <w:pPr>
        <w:spacing w:after="120" w:line="360" w:lineRule="auto"/>
        <w:ind w:left="567" w:right="1695"/>
        <w:rPr>
          <w:rFonts w:ascii="Arial" w:eastAsia="Arial" w:hAnsi="Arial" w:cs="Arial"/>
        </w:rPr>
      </w:pPr>
      <w:r>
        <w:rPr>
          <w:rFonts w:ascii="Arial" w:hAnsi="Arial"/>
          <w:noProof/>
        </w:rPr>
        <w:lastRenderedPageBreak/>
        <w:drawing>
          <wp:inline distT="0" distB="0" distL="0" distR="0" wp14:anchorId="14C70D23" wp14:editId="6CE0CFF9">
            <wp:extent cx="4064400" cy="2880000"/>
            <wp:effectExtent l="0" t="0" r="0" b="3175"/>
            <wp:docPr id="1933877027"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3877027" name="Grafik 1933877027"/>
                    <pic:cNvPicPr/>
                  </pic:nvPicPr>
                  <pic:blipFill>
                    <a:blip r:embed="rId18"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14906018" w14:textId="77777777" w:rsidR="00C03ACD" w:rsidRPr="00C03ACD" w:rsidRDefault="00C03ACD" w:rsidP="00C03ACD">
      <w:pPr>
        <w:spacing w:after="120" w:line="360" w:lineRule="auto"/>
        <w:ind w:left="567" w:right="1695"/>
        <w:rPr>
          <w:rFonts w:ascii="Arial" w:eastAsia="Arial" w:hAnsi="Arial" w:cs="Arial"/>
        </w:rPr>
      </w:pPr>
      <w:r>
        <w:rPr>
          <w:rFonts w:ascii="Arial" w:hAnsi="Arial"/>
        </w:rPr>
        <w:t>Implantation du maïs en triangle. Les différentes plantes sont décalées par rapport au rang voisin</w:t>
      </w:r>
    </w:p>
    <w:p w14:paraId="2202D863" w14:textId="77777777" w:rsidR="00C03ACD" w:rsidRDefault="00C03ACD" w:rsidP="00C03ACD">
      <w:pPr>
        <w:spacing w:after="120" w:line="360" w:lineRule="auto"/>
        <w:ind w:left="567" w:right="1695"/>
        <w:rPr>
          <w:rFonts w:ascii="Arial" w:eastAsia="Arial" w:hAnsi="Arial" w:cs="Arial"/>
        </w:rPr>
      </w:pPr>
    </w:p>
    <w:p w14:paraId="415FEEA0" w14:textId="77777777" w:rsidR="00C03ACD" w:rsidRDefault="00C03ACD" w:rsidP="00C03ACD">
      <w:pPr>
        <w:spacing w:after="120" w:line="360" w:lineRule="auto"/>
        <w:ind w:left="567" w:right="1695"/>
        <w:rPr>
          <w:rFonts w:ascii="Arial" w:eastAsia="Arial" w:hAnsi="Arial" w:cs="Arial"/>
        </w:rPr>
      </w:pPr>
    </w:p>
    <w:p w14:paraId="2979088F" w14:textId="027A668E" w:rsidR="00C03ACD" w:rsidRDefault="00C03ACD" w:rsidP="00C03ACD">
      <w:pPr>
        <w:spacing w:after="120" w:line="360" w:lineRule="auto"/>
        <w:ind w:left="567" w:right="1695"/>
        <w:rPr>
          <w:rFonts w:ascii="Arial" w:eastAsia="Arial" w:hAnsi="Arial" w:cs="Arial"/>
        </w:rPr>
      </w:pPr>
      <w:r>
        <w:rPr>
          <w:rFonts w:ascii="Arial" w:hAnsi="Arial"/>
          <w:noProof/>
        </w:rPr>
        <w:drawing>
          <wp:inline distT="0" distB="0" distL="0" distR="0" wp14:anchorId="2CBD18F3" wp14:editId="5A46E58A">
            <wp:extent cx="3477600" cy="2880000"/>
            <wp:effectExtent l="0" t="0" r="2540" b="3175"/>
            <wp:docPr id="1571907747"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1907747" name="Grafik 1571907747"/>
                    <pic:cNvPicPr/>
                  </pic:nvPicPr>
                  <pic:blipFill>
                    <a:blip r:embed="rId19"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6BB6DF11" w14:textId="77777777" w:rsidR="00C03ACD" w:rsidRPr="00C03ACD" w:rsidRDefault="00C03ACD" w:rsidP="00C03ACD">
      <w:pPr>
        <w:spacing w:after="120" w:line="360" w:lineRule="auto"/>
        <w:ind w:left="567" w:right="1695"/>
        <w:rPr>
          <w:rFonts w:ascii="Arial" w:eastAsia="Arial" w:hAnsi="Arial" w:cs="Arial"/>
        </w:rPr>
      </w:pPr>
      <w:r>
        <w:rPr>
          <w:rFonts w:ascii="Arial" w:hAnsi="Arial"/>
        </w:rPr>
        <w:t xml:space="preserve">Semoir </w:t>
      </w:r>
      <w:proofErr w:type="spellStart"/>
      <w:r>
        <w:rPr>
          <w:rFonts w:ascii="Arial" w:hAnsi="Arial"/>
        </w:rPr>
        <w:t>monograine</w:t>
      </w:r>
      <w:proofErr w:type="spellEnd"/>
      <w:r>
        <w:rPr>
          <w:rFonts w:ascii="Arial" w:hAnsi="Arial"/>
        </w:rPr>
        <w:t xml:space="preserve"> </w:t>
      </w:r>
      <w:proofErr w:type="spellStart"/>
      <w:r>
        <w:rPr>
          <w:rFonts w:ascii="Arial" w:hAnsi="Arial"/>
        </w:rPr>
        <w:t>Precea</w:t>
      </w:r>
      <w:proofErr w:type="spellEnd"/>
      <w:r>
        <w:rPr>
          <w:rFonts w:ascii="Arial" w:hAnsi="Arial"/>
        </w:rPr>
        <w:t xml:space="preserve"> 6000-TCC</w:t>
      </w:r>
    </w:p>
    <w:p w14:paraId="654DBBB9" w14:textId="14986E28" w:rsidR="00DB270B" w:rsidRDefault="00DB270B">
      <w:pPr>
        <w:rPr>
          <w:rFonts w:ascii="Arial" w:eastAsia="Arial" w:hAnsi="Arial" w:cs="Arial"/>
        </w:rPr>
      </w:pPr>
      <w:r>
        <w:rPr>
          <w:rFonts w:ascii="Arial" w:eastAsia="Arial" w:hAnsi="Arial" w:cs="Arial"/>
        </w:rPr>
        <w:br w:type="page"/>
      </w:r>
    </w:p>
    <w:p w14:paraId="655F29AA" w14:textId="77777777" w:rsidR="00D34808" w:rsidRPr="00D27732"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lastRenderedPageBreak/>
        <w:t xml:space="preserve">Les illustrations, contenus et spécifications techniques sont sans engagement de notre part et peuvent varier en fonction de l’équipement. Les dispositions applicables du code de la route du pays concerné doivent être respectées, de sorte qu'une autorisation spéciale peut être exigée. </w:t>
      </w:r>
    </w:p>
    <w:p w14:paraId="0FA09E64" w14:textId="77777777" w:rsidR="00F17946" w:rsidRDefault="00F17946" w:rsidP="00D34808">
      <w:pPr>
        <w:spacing w:after="120" w:line="360" w:lineRule="auto"/>
        <w:ind w:left="567" w:right="1695"/>
        <w:rPr>
          <w:rFonts w:ascii="Arial" w:hAnsi="Arial" w:cs="Arial"/>
          <w:bCs/>
        </w:rPr>
      </w:pPr>
    </w:p>
    <w:p w14:paraId="1DE457A1" w14:textId="77777777" w:rsidR="00D34808" w:rsidRPr="00D27732" w:rsidRDefault="00D34808" w:rsidP="00D34808">
      <w:pPr>
        <w:tabs>
          <w:tab w:val="left" w:pos="3550"/>
        </w:tabs>
        <w:spacing w:line="360" w:lineRule="auto"/>
        <w:ind w:left="567" w:right="1128"/>
        <w:rPr>
          <w:rFonts w:ascii="Arial" w:hAnsi="Arial" w:cs="Arial"/>
          <w:b/>
          <w:bCs/>
          <w:color w:val="808080" w:themeColor="background1" w:themeShade="80"/>
          <w:sz w:val="20"/>
          <w:szCs w:val="20"/>
        </w:rPr>
      </w:pPr>
      <w:r>
        <w:rPr>
          <w:rFonts w:ascii="Arial" w:hAnsi="Arial"/>
          <w:b/>
          <w:color w:val="808080" w:themeColor="background1" w:themeShade="80"/>
          <w:sz w:val="20"/>
        </w:rPr>
        <w:t>À propos de la société AMAZONE</w:t>
      </w:r>
    </w:p>
    <w:p w14:paraId="2403294B" w14:textId="77777777" w:rsidR="00D34808" w:rsidRPr="00D34808"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Les AMAZONEN-WERKE H. Dreyer SE &amp; Co. KG dont le siège principal se situe à 49205 </w:t>
      </w:r>
      <w:proofErr w:type="spellStart"/>
      <w:r>
        <w:rPr>
          <w:rFonts w:ascii="Arial" w:hAnsi="Arial"/>
          <w:color w:val="808080" w:themeColor="background1" w:themeShade="80"/>
          <w:sz w:val="20"/>
        </w:rPr>
        <w:t>Hasbergen</w:t>
      </w:r>
      <w:proofErr w:type="spellEnd"/>
      <w:r>
        <w:rPr>
          <w:rFonts w:ascii="Arial" w:hAnsi="Arial"/>
          <w:color w:val="808080" w:themeColor="background1" w:themeShade="80"/>
          <w:sz w:val="20"/>
        </w:rPr>
        <w:t>-Gaste fabriquent des matériels agricoles et espaces verts. L’entreprise dirigée par ses propriétaires emploie plus de 2 500 salariés sur neuf sites de production différents. Les outils de préparation du sol, les semoirs, les épandeurs d’engrais, les pulvérisateurs et les bineuses font partie de la gamme de production des matériels agricoles. Sur la base de ces compétences clés, AMAZONE est aujourd’hui le spécialiste d’une « agriculture durable ». AMAZONE propose également des matériels d'entretien des parcs et espaces verts ainsi que pour le service hivernal.</w:t>
      </w:r>
    </w:p>
    <w:p w14:paraId="2853F425" w14:textId="77777777" w:rsidR="00D34808" w:rsidRPr="00D34808"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Plus d’informations : </w:t>
      </w:r>
      <w:hyperlink r:id="rId20" w:history="1">
        <w:r>
          <w:rPr>
            <w:rStyle w:val="Hyperlink"/>
            <w:rFonts w:ascii="Arial" w:hAnsi="Arial"/>
            <w:sz w:val="20"/>
          </w:rPr>
          <w:t>www.amazone.fr</w:t>
        </w:r>
      </w:hyperlink>
    </w:p>
    <w:p w14:paraId="252D2E94" w14:textId="728B1768" w:rsidR="00A46482"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noProof/>
          <w:color w:val="0563C1"/>
        </w:rPr>
        <w:drawing>
          <wp:inline distT="0" distB="0" distL="0" distR="0" wp14:anchorId="795D4C9D" wp14:editId="0AA07137">
            <wp:extent cx="241300" cy="241300"/>
            <wp:effectExtent l="0" t="0" r="6350" b="6350"/>
            <wp:docPr id="13" name="Grafik 13">
              <a:hlinkClick xmlns:a="http://schemas.openxmlformats.org/drawingml/2006/main" r:id="rId2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21"/>
                    </pic:cNvPr>
                    <pic:cNvPicPr>
                      <a:picLocks noChangeAspect="1" noChangeArrowheads="1"/>
                    </pic:cNvPicPr>
                  </pic:nvPicPr>
                  <pic:blipFill>
                    <a:blip r:embed="rId22" r:link="rId23"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3F25F33" wp14:editId="758857E2">
            <wp:extent cx="241300" cy="241300"/>
            <wp:effectExtent l="0" t="0" r="6350" b="6350"/>
            <wp:docPr id="12" name="Grafik 12">
              <a:hlinkClick xmlns:a="http://schemas.openxmlformats.org/drawingml/2006/main" r:id="rId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24"/>
                    </pic:cNvPr>
                    <pic:cNvPicPr>
                      <a:picLocks noChangeAspect="1" noChangeArrowheads="1"/>
                    </pic:cNvPicPr>
                  </pic:nvPicPr>
                  <pic:blipFill>
                    <a:blip r:embed="rId25" r:link="rId26"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2571332D" wp14:editId="03B5EE6C">
            <wp:extent cx="241300" cy="241300"/>
            <wp:effectExtent l="0" t="0" r="6350" b="6350"/>
            <wp:docPr id="11" name="Grafik 11">
              <a:hlinkClick xmlns:a="http://schemas.openxmlformats.org/drawingml/2006/main" r:id="rId2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7"/>
                    </pic:cNvPr>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5EC8EBED" wp14:editId="48DBDC06">
            <wp:extent cx="241300" cy="241300"/>
            <wp:effectExtent l="0" t="0" r="6350" b="6350"/>
            <wp:docPr id="10" name="Grafik 10">
              <a:hlinkClick xmlns:a="http://schemas.openxmlformats.org/drawingml/2006/main" r:id="rId3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30"/>
                    </pic:cNvPr>
                    <pic:cNvPicPr>
                      <a:picLocks noChangeAspect="1" noChangeArrowheads="1"/>
                    </pic:cNvPicPr>
                  </pic:nvPicPr>
                  <pic:blipFill>
                    <a:blip r:embed="rId31" r:link="rId32"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48A556B" wp14:editId="28B6B120">
            <wp:extent cx="241300" cy="241300"/>
            <wp:effectExtent l="0" t="0" r="6350" b="6350"/>
            <wp:docPr id="7" name="Grafik 7">
              <a:hlinkClick xmlns:a="http://schemas.openxmlformats.org/drawingml/2006/main" r:id="rId3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33"/>
                    </pic:cNvPr>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sectPr w:rsidR="00A46482" w:rsidSect="007D56A1">
      <w:headerReference w:type="default" r:id="rId36"/>
      <w:footerReference w:type="default" r:id="rId37"/>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D02CF60" w14:textId="77777777" w:rsidR="00160D58" w:rsidRDefault="00160D58">
      <w:r>
        <w:separator/>
      </w:r>
    </w:p>
  </w:endnote>
  <w:endnote w:type="continuationSeparator" w:id="0">
    <w:p w14:paraId="485EA3C6" w14:textId="77777777" w:rsidR="00160D58" w:rsidRDefault="00160D5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w:altName w:val="Courier New"/>
    <w:panose1 w:val="02070409020205020404"/>
    <w:charset w:val="00"/>
    <w:family w:val="modern"/>
    <w:pitch w:val="fixed"/>
    <w:sig w:usb0="E0002AFF" w:usb1="C0007843" w:usb2="00000009" w:usb3="00000000" w:csb0="000001FF" w:csb1="00000000"/>
  </w:font>
  <w:font w:name="Lucida Grande">
    <w:charset w:val="00"/>
    <w:family w:val="swiss"/>
    <w:pitch w:val="variable"/>
    <w:sig w:usb0="E1000AEF" w:usb1="5000A1FF" w:usb2="00000000" w:usb3="00000000" w:csb0="000001BF" w:csb1="00000000"/>
  </w:font>
  <w:font w:name="Times-Roman">
    <w:altName w:val="Times New Roman"/>
    <w:panose1 w:val="00000000000000000000"/>
    <w:charset w:val="4D"/>
    <w:family w:val="auto"/>
    <w:notTrueType/>
    <w:pitch w:val="default"/>
    <w:sig w:usb0="00000003" w:usb1="00000000" w:usb2="00000000" w:usb3="00000000" w:csb0="00000001" w:csb1="00000000"/>
  </w:font>
  <w:font w:name="Helvetica">
    <w:panose1 w:val="020B0604020202020204"/>
    <w:charset w:val="00"/>
    <w:family w:val="swiss"/>
    <w:pitch w:val="variable"/>
    <w:sig w:usb0="00000007" w:usb1="00000000" w:usb2="00000000" w:usb3="00000000" w:csb0="00000093"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5A60ED" w14:textId="77777777" w:rsidR="005E0980" w:rsidRDefault="00147389" w:rsidP="00D211D5">
    <w:pPr>
      <w:pStyle w:val="Fuzeile"/>
      <w:tabs>
        <w:tab w:val="clear" w:pos="4536"/>
        <w:tab w:val="clear" w:pos="9072"/>
        <w:tab w:val="left" w:pos="3138"/>
      </w:tabs>
    </w:pPr>
    <w:r>
      <w:rPr>
        <w:noProof/>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" filled="f" fillcolor="#006e31" stroked="f">
              <v:textbox inset="0,.5mm,0,0">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v:textbox>
            </v:shape>
          </w:pict>
        </mc:Fallback>
      </mc:AlternateContent>
    </w:r>
    <w:r>
      <w:rPr>
        <w:noProof/>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 xml:space="preserve">AMAZONEN-WERKE H. DREYER SE &amp; Co. KG ∙ Am </w:t>
                          </w:r>
                          <w:proofErr w:type="spellStart"/>
                          <w:r>
                            <w:rPr>
                              <w:rFonts w:ascii="Arial" w:hAnsi="Arial"/>
                              <w:sz w:val="20"/>
                            </w:rPr>
                            <w:t>Amazonenwerk</w:t>
                          </w:r>
                          <w:proofErr w:type="spellEnd"/>
                          <w:r>
                            <w:rPr>
                              <w:rFonts w:ascii="Arial" w:hAnsi="Arial"/>
                              <w:sz w:val="20"/>
                            </w:rPr>
                            <w:t xml:space="preserve"> 9–13 ∙ D-49205 </w:t>
                          </w:r>
                          <w:proofErr w:type="spellStart"/>
                          <w:r>
                            <w:rPr>
                              <w:rFonts w:ascii="Arial" w:hAnsi="Arial"/>
                              <w:sz w:val="20"/>
                            </w:rPr>
                            <w:t>Hasbergen</w:t>
                          </w:r>
                          <w:proofErr w:type="spellEnd"/>
                          <w:r>
                            <w:rPr>
                              <w:rFonts w:ascii="Arial" w:hAnsi="Arial"/>
                              <w:sz w:val="20"/>
                            </w:rPr>
                            <w:t>-Gaste</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Tél. : +49 (0)5405 501-0 ∙ amazone@amazone.de ∙ www.amazone.de</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" filled="f" fillcolor="#006e31" stroked="f">
              <v:textbox inset="0,1mm,0,0">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 xml:space="preserve">AMAZONEN-WERKE H. DREYER SE &amp; Co. KG ∙ Am </w:t>
                    </w:r>
                    <w:proofErr w:type="spellStart"/>
                    <w:r>
                      <w:rPr>
                        <w:rFonts w:ascii="Arial" w:hAnsi="Arial"/>
                        <w:sz w:val="20"/>
                      </w:rPr>
                      <w:t>Amazonenwerk</w:t>
                    </w:r>
                    <w:proofErr w:type="spellEnd"/>
                    <w:r>
                      <w:rPr>
                        <w:rFonts w:ascii="Arial" w:hAnsi="Arial"/>
                        <w:sz w:val="20"/>
                      </w:rPr>
                      <w:t xml:space="preserve"> 9–13 ∙ D-49205 </w:t>
                    </w:r>
                    <w:proofErr w:type="spellStart"/>
                    <w:r>
                      <w:rPr>
                        <w:rFonts w:ascii="Arial" w:hAnsi="Arial"/>
                        <w:sz w:val="20"/>
                      </w:rPr>
                      <w:t>Hasbergen</w:t>
                    </w:r>
                    <w:proofErr w:type="spellEnd"/>
                    <w:r>
                      <w:rPr>
                        <w:rFonts w:ascii="Arial" w:hAnsi="Arial"/>
                        <w:sz w:val="20"/>
                      </w:rPr>
                      <w:t>-Gaste</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Tél. : +49 (0)5405 501-0 ∙ amazone@amazone.de ∙ www.amazone.de</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3B9221E" w14:textId="77777777" w:rsidR="00160D58" w:rsidRDefault="00160D58">
      <w:r>
        <w:separator/>
      </w:r>
    </w:p>
  </w:footnote>
  <w:footnote w:type="continuationSeparator" w:id="0">
    <w:p w14:paraId="17728295" w14:textId="77777777" w:rsidR="00160D58" w:rsidRDefault="00160D5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578A8A" w14:textId="77777777" w:rsidR="005E0980" w:rsidRDefault="00E81D17">
    <w:pPr>
      <w:pStyle w:val="Kopfzeile"/>
    </w:pPr>
    <w:r>
      <w:rPr>
        <w:noProof/>
      </w:rPr>
      <mc:AlternateContent>
        <mc:Choice Requires="wps">
          <w:drawing>
            <wp:anchor distT="0" distB="0" distL="114300" distR="114300" simplePos="0" relativeHeight="251668480" behindDoc="0" locked="0" layoutInCell="1" allowOverlap="1" wp14:anchorId="01B1977D" wp14:editId="150D4013">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GO for Future</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01B1977D"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" filled="f" stroked="f" strokeweight="2pt">
              <v:textbo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GO for Future</w:t>
                    </w:r>
                  </w:p>
                </w:txbxContent>
              </v:textbox>
              <w10:wrap anchorx="margin"/>
            </v:rect>
          </w:pict>
        </mc:Fallback>
      </mc:AlternateContent>
    </w:r>
    <w:r>
      <w:rPr>
        <w:noProof/>
      </w:rP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Pr>
        <w:noProof/>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Communiqué de presse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" filled="f" fillcolor="#006e31" stroked="f">
              <v:textbox inset="0,0,0,0">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Communiqué de presse</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7D0752"/>
    <w:multiLevelType w:val="hybridMultilevel"/>
    <w:tmpl w:val="F9E200D4"/>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 w15:restartNumberingAfterBreak="0">
    <w:nsid w:val="03F04A12"/>
    <w:multiLevelType w:val="hybridMultilevel"/>
    <w:tmpl w:val="CD689C8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3" w15:restartNumberingAfterBreak="0">
    <w:nsid w:val="070D23D8"/>
    <w:multiLevelType w:val="hybridMultilevel"/>
    <w:tmpl w:val="89645620"/>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4" w15:restartNumberingAfterBreak="0">
    <w:nsid w:val="0B8511F1"/>
    <w:multiLevelType w:val="hybridMultilevel"/>
    <w:tmpl w:val="E9CE2DC4"/>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5" w15:restartNumberingAfterBreak="0">
    <w:nsid w:val="0EB27873"/>
    <w:multiLevelType w:val="hybridMultilevel"/>
    <w:tmpl w:val="53FECC68"/>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6"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7" w15:restartNumberingAfterBreak="0">
    <w:nsid w:val="16F31361"/>
    <w:multiLevelType w:val="hybridMultilevel"/>
    <w:tmpl w:val="4DECE35E"/>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19E34999"/>
    <w:multiLevelType w:val="hybridMultilevel"/>
    <w:tmpl w:val="61DEE8DE"/>
    <w:lvl w:ilvl="0" w:tplc="1DFCADF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9" w15:restartNumberingAfterBreak="0">
    <w:nsid w:val="1C563E75"/>
    <w:multiLevelType w:val="hybridMultilevel"/>
    <w:tmpl w:val="A202A98C"/>
    <w:lvl w:ilvl="0" w:tplc="1DFCADF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10"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11" w15:restartNumberingAfterBreak="0">
    <w:nsid w:val="1CF22476"/>
    <w:multiLevelType w:val="hybridMultilevel"/>
    <w:tmpl w:val="DFE864E4"/>
    <w:lvl w:ilvl="0" w:tplc="1DFCADF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12" w15:restartNumberingAfterBreak="0">
    <w:nsid w:val="1D1F59FD"/>
    <w:multiLevelType w:val="hybridMultilevel"/>
    <w:tmpl w:val="3D48480C"/>
    <w:lvl w:ilvl="0" w:tplc="1DFCADF0">
      <w:start w:val="1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1E94385B"/>
    <w:multiLevelType w:val="hybridMultilevel"/>
    <w:tmpl w:val="2A0EDB54"/>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4" w15:restartNumberingAfterBreak="0">
    <w:nsid w:val="209B1961"/>
    <w:multiLevelType w:val="hybridMultilevel"/>
    <w:tmpl w:val="0930B836"/>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5" w15:restartNumberingAfterBreak="0">
    <w:nsid w:val="23065501"/>
    <w:multiLevelType w:val="hybridMultilevel"/>
    <w:tmpl w:val="9B50D760"/>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6" w15:restartNumberingAfterBreak="0">
    <w:nsid w:val="25131395"/>
    <w:multiLevelType w:val="hybridMultilevel"/>
    <w:tmpl w:val="3B685506"/>
    <w:lvl w:ilvl="0" w:tplc="1DFCADF0">
      <w:start w:val="1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26FB250A"/>
    <w:multiLevelType w:val="hybridMultilevel"/>
    <w:tmpl w:val="5DBA14D4"/>
    <w:lvl w:ilvl="0" w:tplc="1DFCADF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9" w15:restartNumberingAfterBreak="0">
    <w:nsid w:val="28F45CDE"/>
    <w:multiLevelType w:val="hybridMultilevel"/>
    <w:tmpl w:val="B7942940"/>
    <w:lvl w:ilvl="0" w:tplc="1DFCADF0">
      <w:start w:val="1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2AC03FCE"/>
    <w:multiLevelType w:val="hybridMultilevel"/>
    <w:tmpl w:val="12B4CA86"/>
    <w:lvl w:ilvl="0" w:tplc="1DFCADF0">
      <w:numFmt w:val="bullet"/>
      <w:lvlText w:val="•"/>
      <w:lvlJc w:val="left"/>
      <w:pPr>
        <w:ind w:left="1080" w:hanging="360"/>
      </w:pPr>
      <w:rPr>
        <w:rFonts w:ascii="Arial" w:eastAsia="Arial" w:hAnsi="Arial" w:cs="Arial"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21" w15:restartNumberingAfterBreak="0">
    <w:nsid w:val="2DE86C60"/>
    <w:multiLevelType w:val="hybridMultilevel"/>
    <w:tmpl w:val="FA681C7C"/>
    <w:lvl w:ilvl="0" w:tplc="1DFCADF0">
      <w:numFmt w:val="bullet"/>
      <w:lvlText w:val="•"/>
      <w:lvlJc w:val="left"/>
      <w:pPr>
        <w:ind w:left="1080" w:hanging="360"/>
      </w:pPr>
      <w:rPr>
        <w:rFonts w:ascii="Arial" w:eastAsia="Arial" w:hAnsi="Arial" w:cs="Arial"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22" w15:restartNumberingAfterBreak="0">
    <w:nsid w:val="35912DF6"/>
    <w:multiLevelType w:val="hybridMultilevel"/>
    <w:tmpl w:val="C1963CE6"/>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3"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3F0A20DF"/>
    <w:multiLevelType w:val="hybridMultilevel"/>
    <w:tmpl w:val="C2ACD56A"/>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25" w15:restartNumberingAfterBreak="0">
    <w:nsid w:val="43153A72"/>
    <w:multiLevelType w:val="hybridMultilevel"/>
    <w:tmpl w:val="DFE85A0C"/>
    <w:lvl w:ilvl="0" w:tplc="383254B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6" w15:restartNumberingAfterBreak="0">
    <w:nsid w:val="4E8B71AC"/>
    <w:multiLevelType w:val="hybridMultilevel"/>
    <w:tmpl w:val="BE569C30"/>
    <w:lvl w:ilvl="0" w:tplc="1DFCADF0">
      <w:start w:val="1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 w15:restartNumberingAfterBreak="0">
    <w:nsid w:val="4EFA030D"/>
    <w:multiLevelType w:val="hybridMultilevel"/>
    <w:tmpl w:val="30720222"/>
    <w:lvl w:ilvl="0" w:tplc="1DFCADF0">
      <w:start w:val="1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15:restartNumberingAfterBreak="0">
    <w:nsid w:val="50BE599E"/>
    <w:multiLevelType w:val="hybridMultilevel"/>
    <w:tmpl w:val="B79C655C"/>
    <w:lvl w:ilvl="0" w:tplc="1DFCADF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29" w15:restartNumberingAfterBreak="0">
    <w:nsid w:val="52183675"/>
    <w:multiLevelType w:val="hybridMultilevel"/>
    <w:tmpl w:val="E288FA2A"/>
    <w:lvl w:ilvl="0" w:tplc="1DFCADF0">
      <w:numFmt w:val="bullet"/>
      <w:lvlText w:val="•"/>
      <w:lvlJc w:val="left"/>
      <w:pPr>
        <w:ind w:left="1287"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30" w15:restartNumberingAfterBreak="0">
    <w:nsid w:val="53BC262A"/>
    <w:multiLevelType w:val="hybridMultilevel"/>
    <w:tmpl w:val="DD22F8A8"/>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31" w15:restartNumberingAfterBreak="0">
    <w:nsid w:val="547F4BEA"/>
    <w:multiLevelType w:val="hybridMultilevel"/>
    <w:tmpl w:val="16BA3838"/>
    <w:lvl w:ilvl="0" w:tplc="1DFCADF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 w15:restartNumberingAfterBreak="0">
    <w:nsid w:val="5CF15DBD"/>
    <w:multiLevelType w:val="hybridMultilevel"/>
    <w:tmpl w:val="A9DAAF62"/>
    <w:lvl w:ilvl="0" w:tplc="1DFCADF0">
      <w:numFmt w:val="bullet"/>
      <w:lvlText w:val="•"/>
      <w:lvlJc w:val="left"/>
      <w:pPr>
        <w:ind w:left="1287"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33" w15:restartNumberingAfterBreak="0">
    <w:nsid w:val="5E9D0734"/>
    <w:multiLevelType w:val="hybridMultilevel"/>
    <w:tmpl w:val="F29CDF12"/>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34" w15:restartNumberingAfterBreak="0">
    <w:nsid w:val="5FB903FC"/>
    <w:multiLevelType w:val="hybridMultilevel"/>
    <w:tmpl w:val="2240426E"/>
    <w:lvl w:ilvl="0" w:tplc="04070001">
      <w:start w:val="1"/>
      <w:numFmt w:val="bullet"/>
      <w:lvlText w:val=""/>
      <w:lvlJc w:val="left"/>
      <w:pPr>
        <w:ind w:left="2214" w:hanging="360"/>
      </w:pPr>
      <w:rPr>
        <w:rFonts w:ascii="Symbol" w:hAnsi="Symbol" w:hint="default"/>
      </w:rPr>
    </w:lvl>
    <w:lvl w:ilvl="1" w:tplc="04070003" w:tentative="1">
      <w:start w:val="1"/>
      <w:numFmt w:val="bullet"/>
      <w:lvlText w:val="o"/>
      <w:lvlJc w:val="left"/>
      <w:pPr>
        <w:ind w:left="2934" w:hanging="360"/>
      </w:pPr>
      <w:rPr>
        <w:rFonts w:ascii="Courier New" w:hAnsi="Courier New" w:cs="Courier New" w:hint="default"/>
      </w:rPr>
    </w:lvl>
    <w:lvl w:ilvl="2" w:tplc="04070005" w:tentative="1">
      <w:start w:val="1"/>
      <w:numFmt w:val="bullet"/>
      <w:lvlText w:val=""/>
      <w:lvlJc w:val="left"/>
      <w:pPr>
        <w:ind w:left="3654" w:hanging="360"/>
      </w:pPr>
      <w:rPr>
        <w:rFonts w:ascii="Wingdings" w:hAnsi="Wingdings" w:hint="default"/>
      </w:rPr>
    </w:lvl>
    <w:lvl w:ilvl="3" w:tplc="04070001" w:tentative="1">
      <w:start w:val="1"/>
      <w:numFmt w:val="bullet"/>
      <w:lvlText w:val=""/>
      <w:lvlJc w:val="left"/>
      <w:pPr>
        <w:ind w:left="4374" w:hanging="360"/>
      </w:pPr>
      <w:rPr>
        <w:rFonts w:ascii="Symbol" w:hAnsi="Symbol" w:hint="default"/>
      </w:rPr>
    </w:lvl>
    <w:lvl w:ilvl="4" w:tplc="04070003" w:tentative="1">
      <w:start w:val="1"/>
      <w:numFmt w:val="bullet"/>
      <w:lvlText w:val="o"/>
      <w:lvlJc w:val="left"/>
      <w:pPr>
        <w:ind w:left="5094" w:hanging="360"/>
      </w:pPr>
      <w:rPr>
        <w:rFonts w:ascii="Courier New" w:hAnsi="Courier New" w:cs="Courier New" w:hint="default"/>
      </w:rPr>
    </w:lvl>
    <w:lvl w:ilvl="5" w:tplc="04070005" w:tentative="1">
      <w:start w:val="1"/>
      <w:numFmt w:val="bullet"/>
      <w:lvlText w:val=""/>
      <w:lvlJc w:val="left"/>
      <w:pPr>
        <w:ind w:left="5814" w:hanging="360"/>
      </w:pPr>
      <w:rPr>
        <w:rFonts w:ascii="Wingdings" w:hAnsi="Wingdings" w:hint="default"/>
      </w:rPr>
    </w:lvl>
    <w:lvl w:ilvl="6" w:tplc="04070001" w:tentative="1">
      <w:start w:val="1"/>
      <w:numFmt w:val="bullet"/>
      <w:lvlText w:val=""/>
      <w:lvlJc w:val="left"/>
      <w:pPr>
        <w:ind w:left="6534" w:hanging="360"/>
      </w:pPr>
      <w:rPr>
        <w:rFonts w:ascii="Symbol" w:hAnsi="Symbol" w:hint="default"/>
      </w:rPr>
    </w:lvl>
    <w:lvl w:ilvl="7" w:tplc="04070003" w:tentative="1">
      <w:start w:val="1"/>
      <w:numFmt w:val="bullet"/>
      <w:lvlText w:val="o"/>
      <w:lvlJc w:val="left"/>
      <w:pPr>
        <w:ind w:left="7254" w:hanging="360"/>
      </w:pPr>
      <w:rPr>
        <w:rFonts w:ascii="Courier New" w:hAnsi="Courier New" w:cs="Courier New" w:hint="default"/>
      </w:rPr>
    </w:lvl>
    <w:lvl w:ilvl="8" w:tplc="04070005" w:tentative="1">
      <w:start w:val="1"/>
      <w:numFmt w:val="bullet"/>
      <w:lvlText w:val=""/>
      <w:lvlJc w:val="left"/>
      <w:pPr>
        <w:ind w:left="7974" w:hanging="360"/>
      </w:pPr>
      <w:rPr>
        <w:rFonts w:ascii="Wingdings" w:hAnsi="Wingdings" w:hint="default"/>
      </w:rPr>
    </w:lvl>
  </w:abstractNum>
  <w:abstractNum w:abstractNumId="35" w15:restartNumberingAfterBreak="0">
    <w:nsid w:val="620E00FC"/>
    <w:multiLevelType w:val="hybridMultilevel"/>
    <w:tmpl w:val="D610E1E0"/>
    <w:lvl w:ilvl="0" w:tplc="1DFCADF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6" w15:restartNumberingAfterBreak="0">
    <w:nsid w:val="6359293C"/>
    <w:multiLevelType w:val="hybridMultilevel"/>
    <w:tmpl w:val="84F672BA"/>
    <w:lvl w:ilvl="0" w:tplc="1DFCADF0">
      <w:numFmt w:val="bullet"/>
      <w:lvlText w:val="•"/>
      <w:lvlJc w:val="left"/>
      <w:pPr>
        <w:ind w:left="1854" w:hanging="360"/>
      </w:pPr>
      <w:rPr>
        <w:rFonts w:ascii="Arial" w:eastAsia="Arial" w:hAnsi="Arial" w:cs="Arial" w:hint="default"/>
      </w:rPr>
    </w:lvl>
    <w:lvl w:ilvl="1" w:tplc="04070003" w:tentative="1">
      <w:start w:val="1"/>
      <w:numFmt w:val="bullet"/>
      <w:lvlText w:val="o"/>
      <w:lvlJc w:val="left"/>
      <w:pPr>
        <w:ind w:left="2574" w:hanging="360"/>
      </w:pPr>
      <w:rPr>
        <w:rFonts w:ascii="Courier New" w:hAnsi="Courier New" w:cs="Courier New" w:hint="default"/>
      </w:rPr>
    </w:lvl>
    <w:lvl w:ilvl="2" w:tplc="04070005" w:tentative="1">
      <w:start w:val="1"/>
      <w:numFmt w:val="bullet"/>
      <w:lvlText w:val=""/>
      <w:lvlJc w:val="left"/>
      <w:pPr>
        <w:ind w:left="3294" w:hanging="360"/>
      </w:pPr>
      <w:rPr>
        <w:rFonts w:ascii="Wingdings" w:hAnsi="Wingdings" w:hint="default"/>
      </w:rPr>
    </w:lvl>
    <w:lvl w:ilvl="3" w:tplc="04070001" w:tentative="1">
      <w:start w:val="1"/>
      <w:numFmt w:val="bullet"/>
      <w:lvlText w:val=""/>
      <w:lvlJc w:val="left"/>
      <w:pPr>
        <w:ind w:left="4014" w:hanging="360"/>
      </w:pPr>
      <w:rPr>
        <w:rFonts w:ascii="Symbol" w:hAnsi="Symbol" w:hint="default"/>
      </w:rPr>
    </w:lvl>
    <w:lvl w:ilvl="4" w:tplc="04070003" w:tentative="1">
      <w:start w:val="1"/>
      <w:numFmt w:val="bullet"/>
      <w:lvlText w:val="o"/>
      <w:lvlJc w:val="left"/>
      <w:pPr>
        <w:ind w:left="4734" w:hanging="360"/>
      </w:pPr>
      <w:rPr>
        <w:rFonts w:ascii="Courier New" w:hAnsi="Courier New" w:cs="Courier New" w:hint="default"/>
      </w:rPr>
    </w:lvl>
    <w:lvl w:ilvl="5" w:tplc="04070005" w:tentative="1">
      <w:start w:val="1"/>
      <w:numFmt w:val="bullet"/>
      <w:lvlText w:val=""/>
      <w:lvlJc w:val="left"/>
      <w:pPr>
        <w:ind w:left="5454" w:hanging="360"/>
      </w:pPr>
      <w:rPr>
        <w:rFonts w:ascii="Wingdings" w:hAnsi="Wingdings" w:hint="default"/>
      </w:rPr>
    </w:lvl>
    <w:lvl w:ilvl="6" w:tplc="04070001" w:tentative="1">
      <w:start w:val="1"/>
      <w:numFmt w:val="bullet"/>
      <w:lvlText w:val=""/>
      <w:lvlJc w:val="left"/>
      <w:pPr>
        <w:ind w:left="6174" w:hanging="360"/>
      </w:pPr>
      <w:rPr>
        <w:rFonts w:ascii="Symbol" w:hAnsi="Symbol" w:hint="default"/>
      </w:rPr>
    </w:lvl>
    <w:lvl w:ilvl="7" w:tplc="04070003" w:tentative="1">
      <w:start w:val="1"/>
      <w:numFmt w:val="bullet"/>
      <w:lvlText w:val="o"/>
      <w:lvlJc w:val="left"/>
      <w:pPr>
        <w:ind w:left="6894" w:hanging="360"/>
      </w:pPr>
      <w:rPr>
        <w:rFonts w:ascii="Courier New" w:hAnsi="Courier New" w:cs="Courier New" w:hint="default"/>
      </w:rPr>
    </w:lvl>
    <w:lvl w:ilvl="8" w:tplc="04070005" w:tentative="1">
      <w:start w:val="1"/>
      <w:numFmt w:val="bullet"/>
      <w:lvlText w:val=""/>
      <w:lvlJc w:val="left"/>
      <w:pPr>
        <w:ind w:left="7614" w:hanging="360"/>
      </w:pPr>
      <w:rPr>
        <w:rFonts w:ascii="Wingdings" w:hAnsi="Wingdings" w:hint="default"/>
      </w:rPr>
    </w:lvl>
  </w:abstractNum>
  <w:abstractNum w:abstractNumId="37" w15:restartNumberingAfterBreak="0">
    <w:nsid w:val="66F34E58"/>
    <w:multiLevelType w:val="hybridMultilevel"/>
    <w:tmpl w:val="748C796A"/>
    <w:lvl w:ilvl="0" w:tplc="383254B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38" w15:restartNumberingAfterBreak="0">
    <w:nsid w:val="6DF3463D"/>
    <w:multiLevelType w:val="hybridMultilevel"/>
    <w:tmpl w:val="D0444AA2"/>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9" w15:restartNumberingAfterBreak="0">
    <w:nsid w:val="6E9F1442"/>
    <w:multiLevelType w:val="hybridMultilevel"/>
    <w:tmpl w:val="2568684A"/>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40" w15:restartNumberingAfterBreak="0">
    <w:nsid w:val="720E625C"/>
    <w:multiLevelType w:val="hybridMultilevel"/>
    <w:tmpl w:val="4800BE7A"/>
    <w:lvl w:ilvl="0" w:tplc="0407000F">
      <w:start w:val="1"/>
      <w:numFmt w:val="decimal"/>
      <w:lvlText w:val="%1."/>
      <w:lvlJc w:val="left"/>
      <w:pPr>
        <w:ind w:left="927" w:hanging="360"/>
      </w:pPr>
      <w:rPr>
        <w:rFonts w:hint="default"/>
      </w:rPr>
    </w:lvl>
    <w:lvl w:ilvl="1" w:tplc="FFFFFFFF" w:tentative="1">
      <w:start w:val="1"/>
      <w:numFmt w:val="bullet"/>
      <w:lvlText w:val="o"/>
      <w:lvlJc w:val="left"/>
      <w:pPr>
        <w:ind w:left="1647" w:hanging="360"/>
      </w:pPr>
      <w:rPr>
        <w:rFonts w:ascii="Courier New" w:hAnsi="Courier New" w:cs="Courier New" w:hint="default"/>
      </w:rPr>
    </w:lvl>
    <w:lvl w:ilvl="2" w:tplc="FFFFFFFF" w:tentative="1">
      <w:start w:val="1"/>
      <w:numFmt w:val="bullet"/>
      <w:lvlText w:val=""/>
      <w:lvlJc w:val="left"/>
      <w:pPr>
        <w:ind w:left="2367" w:hanging="360"/>
      </w:pPr>
      <w:rPr>
        <w:rFonts w:ascii="Wingdings" w:hAnsi="Wingdings" w:hint="default"/>
      </w:rPr>
    </w:lvl>
    <w:lvl w:ilvl="3" w:tplc="FFFFFFFF" w:tentative="1">
      <w:start w:val="1"/>
      <w:numFmt w:val="bullet"/>
      <w:lvlText w:val=""/>
      <w:lvlJc w:val="left"/>
      <w:pPr>
        <w:ind w:left="3087" w:hanging="360"/>
      </w:pPr>
      <w:rPr>
        <w:rFonts w:ascii="Symbol" w:hAnsi="Symbol" w:hint="default"/>
      </w:rPr>
    </w:lvl>
    <w:lvl w:ilvl="4" w:tplc="FFFFFFFF" w:tentative="1">
      <w:start w:val="1"/>
      <w:numFmt w:val="bullet"/>
      <w:lvlText w:val="o"/>
      <w:lvlJc w:val="left"/>
      <w:pPr>
        <w:ind w:left="3807" w:hanging="360"/>
      </w:pPr>
      <w:rPr>
        <w:rFonts w:ascii="Courier New" w:hAnsi="Courier New" w:cs="Courier New" w:hint="default"/>
      </w:rPr>
    </w:lvl>
    <w:lvl w:ilvl="5" w:tplc="FFFFFFFF" w:tentative="1">
      <w:start w:val="1"/>
      <w:numFmt w:val="bullet"/>
      <w:lvlText w:val=""/>
      <w:lvlJc w:val="left"/>
      <w:pPr>
        <w:ind w:left="4527" w:hanging="360"/>
      </w:pPr>
      <w:rPr>
        <w:rFonts w:ascii="Wingdings" w:hAnsi="Wingdings" w:hint="default"/>
      </w:rPr>
    </w:lvl>
    <w:lvl w:ilvl="6" w:tplc="FFFFFFFF" w:tentative="1">
      <w:start w:val="1"/>
      <w:numFmt w:val="bullet"/>
      <w:lvlText w:val=""/>
      <w:lvlJc w:val="left"/>
      <w:pPr>
        <w:ind w:left="5247" w:hanging="360"/>
      </w:pPr>
      <w:rPr>
        <w:rFonts w:ascii="Symbol" w:hAnsi="Symbol" w:hint="default"/>
      </w:rPr>
    </w:lvl>
    <w:lvl w:ilvl="7" w:tplc="FFFFFFFF" w:tentative="1">
      <w:start w:val="1"/>
      <w:numFmt w:val="bullet"/>
      <w:lvlText w:val="o"/>
      <w:lvlJc w:val="left"/>
      <w:pPr>
        <w:ind w:left="5967" w:hanging="360"/>
      </w:pPr>
      <w:rPr>
        <w:rFonts w:ascii="Courier New" w:hAnsi="Courier New" w:cs="Courier New" w:hint="default"/>
      </w:rPr>
    </w:lvl>
    <w:lvl w:ilvl="8" w:tplc="FFFFFFFF" w:tentative="1">
      <w:start w:val="1"/>
      <w:numFmt w:val="bullet"/>
      <w:lvlText w:val=""/>
      <w:lvlJc w:val="left"/>
      <w:pPr>
        <w:ind w:left="6687" w:hanging="360"/>
      </w:pPr>
      <w:rPr>
        <w:rFonts w:ascii="Wingdings" w:hAnsi="Wingdings" w:hint="default"/>
      </w:rPr>
    </w:lvl>
  </w:abstractNum>
  <w:abstractNum w:abstractNumId="41" w15:restartNumberingAfterBreak="0">
    <w:nsid w:val="7E6B2107"/>
    <w:multiLevelType w:val="hybridMultilevel"/>
    <w:tmpl w:val="84E25724"/>
    <w:lvl w:ilvl="0" w:tplc="1DFCADF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42" w15:restartNumberingAfterBreak="0">
    <w:nsid w:val="7E735C7D"/>
    <w:multiLevelType w:val="hybridMultilevel"/>
    <w:tmpl w:val="E19CBBE0"/>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num w:numId="1" w16cid:durableId="556358491">
    <w:abstractNumId w:val="23"/>
  </w:num>
  <w:num w:numId="2" w16cid:durableId="1510219160">
    <w:abstractNumId w:val="2"/>
  </w:num>
  <w:num w:numId="3" w16cid:durableId="613364659">
    <w:abstractNumId w:val="10"/>
  </w:num>
  <w:num w:numId="4" w16cid:durableId="1043675452">
    <w:abstractNumId w:val="18"/>
  </w:num>
  <w:num w:numId="5" w16cid:durableId="2011105495">
    <w:abstractNumId w:val="6"/>
  </w:num>
  <w:num w:numId="6" w16cid:durableId="494960578">
    <w:abstractNumId w:val="1"/>
  </w:num>
  <w:num w:numId="7" w16cid:durableId="2097939876">
    <w:abstractNumId w:val="37"/>
  </w:num>
  <w:num w:numId="8" w16cid:durableId="33434184">
    <w:abstractNumId w:val="25"/>
  </w:num>
  <w:num w:numId="9" w16cid:durableId="274018629">
    <w:abstractNumId w:val="34"/>
  </w:num>
  <w:num w:numId="10" w16cid:durableId="1622229493">
    <w:abstractNumId w:val="36"/>
  </w:num>
  <w:num w:numId="11" w16cid:durableId="280575959">
    <w:abstractNumId w:val="29"/>
  </w:num>
  <w:num w:numId="12" w16cid:durableId="169492611">
    <w:abstractNumId w:val="39"/>
  </w:num>
  <w:num w:numId="13" w16cid:durableId="711804392">
    <w:abstractNumId w:val="40"/>
  </w:num>
  <w:num w:numId="14" w16cid:durableId="614945063">
    <w:abstractNumId w:val="4"/>
  </w:num>
  <w:num w:numId="15" w16cid:durableId="787310930">
    <w:abstractNumId w:val="22"/>
  </w:num>
  <w:num w:numId="16" w16cid:durableId="1954821959">
    <w:abstractNumId w:val="24"/>
  </w:num>
  <w:num w:numId="17" w16cid:durableId="1429236192">
    <w:abstractNumId w:val="3"/>
  </w:num>
  <w:num w:numId="18" w16cid:durableId="801196723">
    <w:abstractNumId w:val="42"/>
  </w:num>
  <w:num w:numId="19" w16cid:durableId="595864091">
    <w:abstractNumId w:val="14"/>
  </w:num>
  <w:num w:numId="20" w16cid:durableId="2085832550">
    <w:abstractNumId w:val="33"/>
  </w:num>
  <w:num w:numId="21" w16cid:durableId="1235970655">
    <w:abstractNumId w:val="0"/>
  </w:num>
  <w:num w:numId="22" w16cid:durableId="454446071">
    <w:abstractNumId w:val="13"/>
  </w:num>
  <w:num w:numId="23" w16cid:durableId="1538158893">
    <w:abstractNumId w:val="5"/>
  </w:num>
  <w:num w:numId="24" w16cid:durableId="1042562684">
    <w:abstractNumId w:val="38"/>
  </w:num>
  <w:num w:numId="25" w16cid:durableId="952515695">
    <w:abstractNumId w:val="12"/>
  </w:num>
  <w:num w:numId="26" w16cid:durableId="741101877">
    <w:abstractNumId w:val="20"/>
  </w:num>
  <w:num w:numId="27" w16cid:durableId="1955868104">
    <w:abstractNumId w:val="11"/>
  </w:num>
  <w:num w:numId="28" w16cid:durableId="1288392759">
    <w:abstractNumId w:val="17"/>
  </w:num>
  <w:num w:numId="29" w16cid:durableId="1930917636">
    <w:abstractNumId w:val="16"/>
  </w:num>
  <w:num w:numId="30" w16cid:durableId="133837937">
    <w:abstractNumId w:val="8"/>
  </w:num>
  <w:num w:numId="31" w16cid:durableId="1949579619">
    <w:abstractNumId w:val="31"/>
  </w:num>
  <w:num w:numId="32" w16cid:durableId="2112696074">
    <w:abstractNumId w:val="26"/>
  </w:num>
  <w:num w:numId="33" w16cid:durableId="168763437">
    <w:abstractNumId w:val="9"/>
  </w:num>
  <w:num w:numId="34" w16cid:durableId="740366733">
    <w:abstractNumId w:val="35"/>
  </w:num>
  <w:num w:numId="35" w16cid:durableId="397358972">
    <w:abstractNumId w:val="19"/>
  </w:num>
  <w:num w:numId="36" w16cid:durableId="2060278956">
    <w:abstractNumId w:val="41"/>
  </w:num>
  <w:num w:numId="37" w16cid:durableId="1624076177">
    <w:abstractNumId w:val="32"/>
  </w:num>
  <w:num w:numId="38" w16cid:durableId="1617178793">
    <w:abstractNumId w:val="30"/>
  </w:num>
  <w:num w:numId="39" w16cid:durableId="1835024161">
    <w:abstractNumId w:val="15"/>
  </w:num>
  <w:num w:numId="40" w16cid:durableId="978071882">
    <w:abstractNumId w:val="7"/>
  </w:num>
  <w:num w:numId="41" w16cid:durableId="326906566">
    <w:abstractNumId w:val="27"/>
  </w:num>
  <w:num w:numId="42" w16cid:durableId="752749325">
    <w:abstractNumId w:val="21"/>
  </w:num>
  <w:num w:numId="43" w16cid:durableId="915671095">
    <w:abstractNumId w:val="2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1"/>
  <w:removePersonalInformation/>
  <w:removeDateAndTime/>
  <w:embedSystemFonts/>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400D"/>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AD1"/>
    <w:rsid w:val="00062B82"/>
    <w:rsid w:val="00063211"/>
    <w:rsid w:val="00063402"/>
    <w:rsid w:val="00064C64"/>
    <w:rsid w:val="00065CAA"/>
    <w:rsid w:val="00066F1F"/>
    <w:rsid w:val="00070765"/>
    <w:rsid w:val="00072139"/>
    <w:rsid w:val="0007256B"/>
    <w:rsid w:val="00073DE2"/>
    <w:rsid w:val="00074193"/>
    <w:rsid w:val="0007594F"/>
    <w:rsid w:val="00080817"/>
    <w:rsid w:val="00084480"/>
    <w:rsid w:val="00084F0C"/>
    <w:rsid w:val="00085DC9"/>
    <w:rsid w:val="000938D4"/>
    <w:rsid w:val="0009438C"/>
    <w:rsid w:val="000944DD"/>
    <w:rsid w:val="00094B4F"/>
    <w:rsid w:val="00094BA9"/>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28FB"/>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1167"/>
    <w:rsid w:val="0012269E"/>
    <w:rsid w:val="001232BE"/>
    <w:rsid w:val="001238CB"/>
    <w:rsid w:val="00123BBE"/>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0D58"/>
    <w:rsid w:val="00161CDE"/>
    <w:rsid w:val="00162EFC"/>
    <w:rsid w:val="00164471"/>
    <w:rsid w:val="00165E49"/>
    <w:rsid w:val="00170B9E"/>
    <w:rsid w:val="0017285C"/>
    <w:rsid w:val="00173686"/>
    <w:rsid w:val="001742B4"/>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1069"/>
    <w:rsid w:val="00232457"/>
    <w:rsid w:val="0023280D"/>
    <w:rsid w:val="00232BF5"/>
    <w:rsid w:val="002334CF"/>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2A84"/>
    <w:rsid w:val="0028387B"/>
    <w:rsid w:val="00286CAE"/>
    <w:rsid w:val="00286F63"/>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BA2"/>
    <w:rsid w:val="0031078F"/>
    <w:rsid w:val="003123B7"/>
    <w:rsid w:val="00312BEF"/>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3496"/>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0AB1"/>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422B"/>
    <w:rsid w:val="004C549D"/>
    <w:rsid w:val="004C61E9"/>
    <w:rsid w:val="004C7E4E"/>
    <w:rsid w:val="004D0790"/>
    <w:rsid w:val="004D1DB1"/>
    <w:rsid w:val="004D45C7"/>
    <w:rsid w:val="004D4ED8"/>
    <w:rsid w:val="004D79A3"/>
    <w:rsid w:val="004E0912"/>
    <w:rsid w:val="004E161C"/>
    <w:rsid w:val="004E1697"/>
    <w:rsid w:val="004E17B4"/>
    <w:rsid w:val="004E1C85"/>
    <w:rsid w:val="004E4EE0"/>
    <w:rsid w:val="004E51A5"/>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DA0"/>
    <w:rsid w:val="00532E2E"/>
    <w:rsid w:val="00533B44"/>
    <w:rsid w:val="005344F3"/>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36E5"/>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6465"/>
    <w:rsid w:val="005F7267"/>
    <w:rsid w:val="00601972"/>
    <w:rsid w:val="00604D9C"/>
    <w:rsid w:val="00604DA3"/>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0C65"/>
    <w:rsid w:val="00661694"/>
    <w:rsid w:val="00663FEC"/>
    <w:rsid w:val="0066441E"/>
    <w:rsid w:val="00664F29"/>
    <w:rsid w:val="00665E14"/>
    <w:rsid w:val="00667531"/>
    <w:rsid w:val="006676C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5A53"/>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77E55"/>
    <w:rsid w:val="0078043A"/>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318"/>
    <w:rsid w:val="00841879"/>
    <w:rsid w:val="00842694"/>
    <w:rsid w:val="00842C5D"/>
    <w:rsid w:val="008437E6"/>
    <w:rsid w:val="00843D17"/>
    <w:rsid w:val="00844F2A"/>
    <w:rsid w:val="00845A2B"/>
    <w:rsid w:val="00845B96"/>
    <w:rsid w:val="008470D1"/>
    <w:rsid w:val="008507E9"/>
    <w:rsid w:val="0085082B"/>
    <w:rsid w:val="0085276D"/>
    <w:rsid w:val="00852A0D"/>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69BD"/>
    <w:rsid w:val="008F7B54"/>
    <w:rsid w:val="00903BD1"/>
    <w:rsid w:val="009056AA"/>
    <w:rsid w:val="00910A7E"/>
    <w:rsid w:val="00911D0D"/>
    <w:rsid w:val="00913866"/>
    <w:rsid w:val="0091391B"/>
    <w:rsid w:val="00913ABA"/>
    <w:rsid w:val="009150C8"/>
    <w:rsid w:val="00915DF6"/>
    <w:rsid w:val="00916BA8"/>
    <w:rsid w:val="00920552"/>
    <w:rsid w:val="00920AE8"/>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7646B"/>
    <w:rsid w:val="00976A01"/>
    <w:rsid w:val="00982DD1"/>
    <w:rsid w:val="0098571E"/>
    <w:rsid w:val="00986F49"/>
    <w:rsid w:val="00991C50"/>
    <w:rsid w:val="00991D62"/>
    <w:rsid w:val="00992CB8"/>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1284"/>
    <w:rsid w:val="00A049A0"/>
    <w:rsid w:val="00A1027B"/>
    <w:rsid w:val="00A10512"/>
    <w:rsid w:val="00A13169"/>
    <w:rsid w:val="00A16777"/>
    <w:rsid w:val="00A16D39"/>
    <w:rsid w:val="00A22D78"/>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D7A"/>
    <w:rsid w:val="00A83EE4"/>
    <w:rsid w:val="00A8472A"/>
    <w:rsid w:val="00A84A1A"/>
    <w:rsid w:val="00A855CA"/>
    <w:rsid w:val="00A86AC0"/>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2461"/>
    <w:rsid w:val="00AD2EF5"/>
    <w:rsid w:val="00AD3A37"/>
    <w:rsid w:val="00AD4CFD"/>
    <w:rsid w:val="00AE1395"/>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297D"/>
    <w:rsid w:val="00B85A30"/>
    <w:rsid w:val="00B90251"/>
    <w:rsid w:val="00B92D20"/>
    <w:rsid w:val="00B93100"/>
    <w:rsid w:val="00B9476A"/>
    <w:rsid w:val="00B94B4C"/>
    <w:rsid w:val="00B97245"/>
    <w:rsid w:val="00BA1F6A"/>
    <w:rsid w:val="00BA4B47"/>
    <w:rsid w:val="00BA4D0F"/>
    <w:rsid w:val="00BA7C6D"/>
    <w:rsid w:val="00BB0614"/>
    <w:rsid w:val="00BB098E"/>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3794"/>
    <w:rsid w:val="00BE4277"/>
    <w:rsid w:val="00BE6083"/>
    <w:rsid w:val="00BF024B"/>
    <w:rsid w:val="00BF053F"/>
    <w:rsid w:val="00BF0BE2"/>
    <w:rsid w:val="00BF2C99"/>
    <w:rsid w:val="00BF3159"/>
    <w:rsid w:val="00BF51CE"/>
    <w:rsid w:val="00BF791B"/>
    <w:rsid w:val="00C0251B"/>
    <w:rsid w:val="00C02FDC"/>
    <w:rsid w:val="00C03699"/>
    <w:rsid w:val="00C03ACD"/>
    <w:rsid w:val="00C03BD8"/>
    <w:rsid w:val="00C05B74"/>
    <w:rsid w:val="00C0668B"/>
    <w:rsid w:val="00C1069D"/>
    <w:rsid w:val="00C1481C"/>
    <w:rsid w:val="00C2029F"/>
    <w:rsid w:val="00C20F17"/>
    <w:rsid w:val="00C20FFC"/>
    <w:rsid w:val="00C211C3"/>
    <w:rsid w:val="00C222D4"/>
    <w:rsid w:val="00C22A46"/>
    <w:rsid w:val="00C24EF3"/>
    <w:rsid w:val="00C25580"/>
    <w:rsid w:val="00C26C45"/>
    <w:rsid w:val="00C319C6"/>
    <w:rsid w:val="00C31CBA"/>
    <w:rsid w:val="00C32EA5"/>
    <w:rsid w:val="00C33E5C"/>
    <w:rsid w:val="00C3459B"/>
    <w:rsid w:val="00C36C13"/>
    <w:rsid w:val="00C372C7"/>
    <w:rsid w:val="00C37BD5"/>
    <w:rsid w:val="00C42AC0"/>
    <w:rsid w:val="00C43705"/>
    <w:rsid w:val="00C448D9"/>
    <w:rsid w:val="00C44ECA"/>
    <w:rsid w:val="00C451A2"/>
    <w:rsid w:val="00C45CC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2FD8"/>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808"/>
    <w:rsid w:val="00D34974"/>
    <w:rsid w:val="00D359BD"/>
    <w:rsid w:val="00D35A62"/>
    <w:rsid w:val="00D37FAC"/>
    <w:rsid w:val="00D41EA9"/>
    <w:rsid w:val="00D431D0"/>
    <w:rsid w:val="00D4469D"/>
    <w:rsid w:val="00D46166"/>
    <w:rsid w:val="00D46DCA"/>
    <w:rsid w:val="00D47C69"/>
    <w:rsid w:val="00D51EA2"/>
    <w:rsid w:val="00D5204B"/>
    <w:rsid w:val="00D52ABC"/>
    <w:rsid w:val="00D62B7C"/>
    <w:rsid w:val="00D62FE8"/>
    <w:rsid w:val="00D63365"/>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5FC6"/>
    <w:rsid w:val="00D970DE"/>
    <w:rsid w:val="00D97B95"/>
    <w:rsid w:val="00DA0B36"/>
    <w:rsid w:val="00DA315C"/>
    <w:rsid w:val="00DA7C37"/>
    <w:rsid w:val="00DB096A"/>
    <w:rsid w:val="00DB0C78"/>
    <w:rsid w:val="00DB270B"/>
    <w:rsid w:val="00DB62AD"/>
    <w:rsid w:val="00DB7084"/>
    <w:rsid w:val="00DB79E1"/>
    <w:rsid w:val="00DB7CD1"/>
    <w:rsid w:val="00DC076C"/>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6CF4"/>
    <w:rsid w:val="00E97658"/>
    <w:rsid w:val="00EA00A7"/>
    <w:rsid w:val="00EA0CD0"/>
    <w:rsid w:val="00EA1C8E"/>
    <w:rsid w:val="00EA63A7"/>
    <w:rsid w:val="00EA6DCE"/>
    <w:rsid w:val="00EA6FDC"/>
    <w:rsid w:val="00EA76FC"/>
    <w:rsid w:val="00EB27C5"/>
    <w:rsid w:val="00EB49A8"/>
    <w:rsid w:val="00EC1F4D"/>
    <w:rsid w:val="00EC21BE"/>
    <w:rsid w:val="00EC38EB"/>
    <w:rsid w:val="00EC635D"/>
    <w:rsid w:val="00EC648D"/>
    <w:rsid w:val="00EC6551"/>
    <w:rsid w:val="00ED00C4"/>
    <w:rsid w:val="00ED1240"/>
    <w:rsid w:val="00ED13CA"/>
    <w:rsid w:val="00ED14F1"/>
    <w:rsid w:val="00ED4605"/>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17946"/>
    <w:rsid w:val="00F214BC"/>
    <w:rsid w:val="00F23D17"/>
    <w:rsid w:val="00F254AC"/>
    <w:rsid w:val="00F2696A"/>
    <w:rsid w:val="00F3206D"/>
    <w:rsid w:val="00F3365D"/>
    <w:rsid w:val="00F34074"/>
    <w:rsid w:val="00F35B89"/>
    <w:rsid w:val="00F36BC3"/>
    <w:rsid w:val="00F374F7"/>
    <w:rsid w:val="00F40A18"/>
    <w:rsid w:val="00F42F23"/>
    <w:rsid w:val="00F43119"/>
    <w:rsid w:val="00F4316E"/>
    <w:rsid w:val="00F43E3C"/>
    <w:rsid w:val="00F452A2"/>
    <w:rsid w:val="00F4628B"/>
    <w:rsid w:val="00F502F1"/>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133"/>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ourier" w:eastAsia="Times New Roman" w:hAnsi="Courier" w:cs="Times New Roman"/>
        <w:lang w:val="fr-FR"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character" w:styleId="NichtaufgelsteErwhnung">
    <w:name w:val="Unresolved Mention"/>
    <w:basedOn w:val="Absatz-Standardschriftart"/>
    <w:uiPriority w:val="99"/>
    <w:semiHidden/>
    <w:unhideWhenUsed/>
    <w:rsid w:val="00D3480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140276752">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084380209">
      <w:bodyDiv w:val="1"/>
      <w:marLeft w:val="0"/>
      <w:marRight w:val="0"/>
      <w:marTop w:val="0"/>
      <w:marBottom w:val="0"/>
      <w:divBdr>
        <w:top w:val="none" w:sz="0" w:space="0" w:color="auto"/>
        <w:left w:val="none" w:sz="0" w:space="0" w:color="auto"/>
        <w:bottom w:val="none" w:sz="0" w:space="0" w:color="auto"/>
        <w:right w:val="none" w:sz="0" w:space="0" w:color="auto"/>
      </w:divBdr>
    </w:div>
    <w:div w:id="1218007177">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7693108">
      <w:bodyDiv w:val="1"/>
      <w:marLeft w:val="0"/>
      <w:marRight w:val="0"/>
      <w:marTop w:val="0"/>
      <w:marBottom w:val="0"/>
      <w:divBdr>
        <w:top w:val="none" w:sz="0" w:space="0" w:color="auto"/>
        <w:left w:val="none" w:sz="0" w:space="0" w:color="auto"/>
        <w:bottom w:val="none" w:sz="0" w:space="0" w:color="auto"/>
        <w:right w:val="none" w:sz="0" w:space="0" w:color="auto"/>
      </w:divBdr>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cid:IG_efb650a7-31e4-4674-98db-f2d2d5c58dce.jpg" TargetMode="External"/><Relationship Id="rId39" Type="http://schemas.openxmlformats.org/officeDocument/2006/relationships/theme" Target="theme/theme1.xml"/><Relationship Id="rId21" Type="http://schemas.openxmlformats.org/officeDocument/2006/relationships/hyperlink" Target="https://www.facebook.com/amazone.france" TargetMode="External"/><Relationship Id="rId34" Type="http://schemas.openxmlformats.org/officeDocument/2006/relationships/image" Target="media/image17.jpe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4.jpeg"/><Relationship Id="rId33" Type="http://schemas.openxmlformats.org/officeDocument/2006/relationships/hyperlink" Target="https://www.xing.com/company/amazone" TargetMode="External"/><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hyperlink" Target="https://www.amazone.fr" TargetMode="External"/><Relationship Id="rId29" Type="http://schemas.openxmlformats.org/officeDocument/2006/relationships/image" Target="cid:YT_e9180d16-5a2b-4618-92e9-22a015f9cafb.jpg"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hyperlink" Target="https://instagram.com/amazone_france" TargetMode="External"/><Relationship Id="rId32" Type="http://schemas.openxmlformats.org/officeDocument/2006/relationships/image" Target="cid:LinkedIn_80de4e9c-c7a3-41e3-8e11-063f7eace13d.jpg" TargetMode="External"/><Relationship Id="rId37"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cid:FB_70d43fd1-a841-4de4-bbaa-3e1f495f95d3.jpg" TargetMode="External"/><Relationship Id="rId28" Type="http://schemas.openxmlformats.org/officeDocument/2006/relationships/image" Target="media/image15.jpeg"/><Relationship Id="rId36" Type="http://schemas.openxmlformats.org/officeDocument/2006/relationships/header" Target="header1.xml"/><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image" Target="media/image16.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3.jpeg"/><Relationship Id="rId27" Type="http://schemas.openxmlformats.org/officeDocument/2006/relationships/hyperlink" Target="https://www.youtube.com/user/amazonede" TargetMode="External"/><Relationship Id="rId30" Type="http://schemas.openxmlformats.org/officeDocument/2006/relationships/hyperlink" Target="https://www.linkedin.com/company/amazone-france/" TargetMode="External"/><Relationship Id="rId35" Type="http://schemas.openxmlformats.org/officeDocument/2006/relationships/image" Target="cid:Xing1_e3730686-2953-47a9-9c47-dbaa518a9207.jpg" TargetMode="External"/><Relationship Id="rId8" Type="http://schemas.openxmlformats.org/officeDocument/2006/relationships/image" Target="media/image1.jpeg"/><Relationship Id="rId3" Type="http://schemas.openxmlformats.org/officeDocument/2006/relationships/styles" Target="styles.xml"/></Relationships>
</file>

<file path=word/_rels/header1.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18.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FCD2687-8FC2-4169-89C9-7B91F33324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12</Pages>
  <Words>1252</Words>
  <Characters>7214</Characters>
  <Application>Microsoft Office Word</Application>
  <DocSecurity>0</DocSecurity>
  <Lines>60</Lines>
  <Paragraphs>16</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8450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2025-08-18T10:43:00Z</dcterms:created>
  <dcterms:modified xsi:type="dcterms:W3CDTF">2025-09-02T08:26:00Z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