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247897" w14:textId="77777777" w:rsidR="00E97C0C" w:rsidRPr="00E97C0C" w:rsidRDefault="00E97C0C" w:rsidP="00E97C0C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E97C0C">
        <w:rPr>
          <w:rFonts w:ascii="Arial" w:hAnsi="Arial" w:cs="Arial"/>
          <w:b/>
          <w:bCs/>
          <w:sz w:val="28"/>
          <w:szCs w:val="28"/>
          <w:lang w:val="hu-HU"/>
        </w:rPr>
        <w:t>A továbbfejlesztett Precea szemenkénti vetőgép</w:t>
      </w:r>
    </w:p>
    <w:p w14:paraId="2DE7CFF4" w14:textId="77777777" w:rsidR="00E97C0C" w:rsidRPr="00E97C0C" w:rsidRDefault="00E97C0C" w:rsidP="00E97C0C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E97C0C">
        <w:rPr>
          <w:rFonts w:ascii="Arial" w:hAnsi="Arial" w:cs="Arial"/>
          <w:b/>
          <w:bCs/>
          <w:lang w:val="hu-HU"/>
        </w:rPr>
        <w:t>Akár 30% műtrágya-megtakarítás a SynCrop, a FertiSpot, a Section Control és a CurveControl kombinációjával</w:t>
      </w:r>
    </w:p>
    <w:p w14:paraId="77523A59" w14:textId="77777777" w:rsidR="00070765" w:rsidRPr="00E97C0C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32032168" w14:textId="2CB794AC" w:rsid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műtrágya kijuttatására vonatkozó vörös zónák kiterjesztése és a fokozódó társadalmi elvárások egyre szigorúbb műtrágya-előírásokhoz vezet, és ezáltal a műtrágya mennyiségének további korlátozásához. A magas műtrágya- és üzemanyagárak miatt a gazdák egyre nagyobb igényt támasztanak a hatékony és erőforrás-kímélő gépek iránt.</w:t>
      </w:r>
    </w:p>
    <w:p w14:paraId="409ABD6B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3D256E92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>Műtrágya pontos kijuttatása a sorokban</w:t>
      </w:r>
    </w:p>
    <w:p w14:paraId="600F9E12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Az AMAZONE különböző innovatív megoldásai új szintre emelik a szemenkénti vetés és a műtrágya kijuttatásának pontosságát – akár külön-külön, akár egymással szinergikusan kombinálva.</w:t>
      </w:r>
    </w:p>
    <w:p w14:paraId="522FF9DF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591B7FB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műtrágya a törvényi előírások keretein belül a kívánt mennyiségben nagyon hatékonyan kijuttatható. Így például a Precea gépen a műtrágyaszórás automatikusan kikapcsolható a külső sorokban, vízparton vagy éles fordulókban.</w:t>
      </w:r>
    </w:p>
    <w:p w14:paraId="124BD51A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23B13C7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>Section Control</w:t>
      </w:r>
    </w:p>
    <w:p w14:paraId="2F7257CA" w14:textId="77777777" w:rsid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Precea szemenkénti vetőgépek a műtrágyaszórást a soronkénti kapcsolással és a Section Control révén kapcsolják. Pneumatikus szállításnál, ék alakú területeknél és fordulókban az elosztófej az utolsó sorig lekapcsolja a műtrágya kijuttatását anélkül, hogy a szállítási teljesítmény csökkenne.</w:t>
      </w:r>
    </w:p>
    <w:p w14:paraId="363FAD8D" w14:textId="5647F49B" w:rsidR="00B23CFC" w:rsidRDefault="00B23CFC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509EB773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lastRenderedPageBreak/>
        <w:t xml:space="preserve">FertiSpot </w:t>
      </w:r>
    </w:p>
    <w:p w14:paraId="73F0AA2A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következő lépésben az egyes növényeket a saját igényeikhez igazodva kell megtrágyázni. Az ásványi műtrágya a műtrágyaadagolóból a FertiSpot porciózóba kerül. Az adagolóba folyamatosan belépő műtrágyaáramot egy nagysebességű adagolószárny összegyűjti. A műtrágya ezután adagként hagyja el az egységet és kerül a műtrágyacsoroszlyához. Az adagoló vezérlése és a vetőmag lehelyezése szinkronizált módon történik. A szabályozásról a Precea ISOBUS-vezérlése gondoskodik.</w:t>
      </w:r>
    </w:p>
    <w:p w14:paraId="72BD02F8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827CBB8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Új lehetőség, hogy alkalmazástól függően a foltszerű adagolás 2 elhelyezett mag között is lehetséges, hogy a finom gyökerekkel rendelkező növénykultúrák, például a cukorrépa ne sérüljenek. Az ISOBUS vezérléssel a traktorvezető megadhatja, pontosan hová kell kerülnie az adagnak: a vetőmag alá vagy két vetőmag közé.</w:t>
      </w:r>
    </w:p>
    <w:p w14:paraId="09BF33C7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7321C48" w14:textId="77777777" w:rsid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Hasonlóképpen a koncentrált műtrágyaadag lerakása MultiSpot módszerrel is lehetséges olyan kultúrákban, ahol magas a hektáronkénti növénysűrűség. A sávos kijuttatáshoz képest a tápanyagok koncentrációja a talajban alacsonyabb, mivel műtrágyaadagokban koncentrálódnak. Ezáltal javul a tápanyagok hosszú távú felszívódása.</w:t>
      </w:r>
    </w:p>
    <w:p w14:paraId="2EC60278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873B878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>CurveControl</w:t>
      </w:r>
    </w:p>
    <w:p w14:paraId="7A78A3EA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CurveControl funkció arra szolgál, hogy a vetőmag és a műtrágya egymáshoz igazodva, kanyarokban is a lehető legpontosabban legyen elosztva. Így a műtrágya a kanyar külső részén másképp oszlik el, mint a belső részén, de mennyisége mindig pontosan a kijuttatott szemek mennyiségének megfelelően alakul. Ezzel elkerülhető a műtrágya alul- és túladagolása, és egyenletes állományok alakulnak ki.</w:t>
      </w:r>
    </w:p>
    <w:p w14:paraId="01353D6D" w14:textId="2C004161" w:rsidR="00B23CFC" w:rsidRDefault="00B23CFC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728223FC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lastRenderedPageBreak/>
        <w:t>SynCrop a vetőmag és műtrágya számára</w:t>
      </w:r>
    </w:p>
    <w:p w14:paraId="05AB6CE4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2026-os tavaszi szezontól új szoftvermegoldásként a SynCrop áll rendelkezésre a vetőmag és műtrágya háromszög-elrendezésű vagy blokkos elrendezésű kijuttatásának sorok közötti szinkronizálásához.</w:t>
      </w:r>
    </w:p>
    <w:p w14:paraId="1C7D2CE3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92FD3F0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vetőegységek sorok közötti szinkronizálásával a vetőmag és a műtrágya háromszög-elrendezésben vagy blokkos elrendezésben helyezhető el. Ezzel maximalizálható a növények közötti távolság és optimalizálható a térbeli eloszlás. Minden növény számára javul a tápanyagok, a fény, a víz és a levegő elérhetősége.</w:t>
      </w:r>
    </w:p>
    <w:p w14:paraId="0AE25F01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9636169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jobb tápanyagfelvétel gyorsabb levélnövekedéshez és gyorsabb sorzáráshoz vezethet. A köztes térben a talaj gyorsabban árnyékba kerül, és a gyomnövekedés hatékonyabban gátolható. Ebből különösen a fiatal kukoricapalánták profitálhatnak.</w:t>
      </w:r>
    </w:p>
    <w:p w14:paraId="649CCDE3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E936803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háromszög-elrendezés révén a növények optimálisan kihasználhatják a napfényt, miközben a domboldalakon csökken a talajerózió.</w:t>
      </w:r>
    </w:p>
    <w:p w14:paraId="280A202B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780ECD0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>A kombinált használat új szintre emeli a pontosságot</w:t>
      </w:r>
    </w:p>
    <w:p w14:paraId="18099D37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FertiSpot műtrágyaadagoló rendszer, a műtrágyakijuttatás soronkénti kapcsolás a Section Control segítségével, a növények pontos elosztása a sorban a Curve-Control révén és a növények SynCrop szoftveres alapú háromszög vagy blokkos elrendezése új szintre emeli a szemenkénti vetés pontosságát.</w:t>
      </w:r>
    </w:p>
    <w:p w14:paraId="43E0FC8E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945A88E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 xml:space="preserve">Az egyes funkciók intelligens kombinációjával összesen akár 30% műtrágya is megtakarítható. A növényhez juttatott pontos műtrágyamennyiség biztosítja a </w:t>
      </w:r>
      <w:r w:rsidRPr="00E97C0C">
        <w:rPr>
          <w:rFonts w:ascii="Arial" w:eastAsia="Arial" w:hAnsi="Arial" w:cs="Arial"/>
          <w:lang w:val="hu-HU"/>
        </w:rPr>
        <w:lastRenderedPageBreak/>
        <w:t>hozamot, és a növények egyenletes fejlődése révén optimalizálja a növényállományt.</w:t>
      </w:r>
    </w:p>
    <w:p w14:paraId="706028AC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4054D90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 xml:space="preserve">Az akár 30%-os műtrágya-megtakarításnak köszönhetően a rendszer gazdasági előnyt jelent. A műtrágya-megtakarítás révén a logisztikai költségek is csökkennek, mivel kevesebb műtrágyát kell mozgatni a gazdálkodási folyamatok során. Ez jelentősen megkönnyíti a munkát, mivel hektáronként kevesebb töltési művelet szükséges. </w:t>
      </w:r>
    </w:p>
    <w:p w14:paraId="4A7D698D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84710B4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tápanyagok, például a foszfát gyártása bonyolult és energiaigényes, emiatt a műtrágya adagjának csökkentésével kevesebb terhelés nehezedik a környezetre. Elmondható továbbá, hogy a nyersanyagok hatékonyabb felhasználása a vízszennyezést is tovább csökkenti.</w:t>
      </w:r>
    </w:p>
    <w:p w14:paraId="695891FE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1A5979D" w14:textId="05E5BDDB" w:rsidR="00F17946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Új Precea gépekhez külön rendelhető a soronkénti kapcsolással ellátott Section Control, az akár 12 soros FertiSpot, a CurveControl és a háromszög-elrendezésű kijuttatást lehetővé tévő szoftver. A 2025-től gyártott modelleket már úgy terveztük, hogy az összes említett rendszer utólag is felszerelhető legyen rájuk.</w:t>
      </w:r>
    </w:p>
    <w:p w14:paraId="195FF01F" w14:textId="77777777" w:rsidR="00AE1395" w:rsidRDefault="00AE1395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EA9F4F6" w14:textId="77777777" w:rsidR="00E97C0C" w:rsidRPr="00E97C0C" w:rsidRDefault="00E97C0C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CCA6" w14:textId="0DD39CA1" w:rsidR="00F17946" w:rsidRPr="00F17946" w:rsidRDefault="00E97C0C" w:rsidP="00F17946">
      <w:pPr>
        <w:pStyle w:val="Listenabsatz"/>
        <w:numPr>
          <w:ilvl w:val="0"/>
          <w:numId w:val="4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proofErr w:type="spellStart"/>
      <w:r w:rsidRPr="00E97C0C">
        <w:rPr>
          <w:rFonts w:ascii="Arial" w:eastAsia="Arial" w:hAnsi="Arial" w:cs="Arial"/>
          <w:b/>
          <w:bCs/>
        </w:rPr>
        <w:t>Erőforráskímélő</w:t>
      </w:r>
      <w:proofErr w:type="spellEnd"/>
      <w:r w:rsidRPr="00E97C0C">
        <w:rPr>
          <w:rFonts w:ascii="Arial" w:eastAsia="Arial" w:hAnsi="Arial" w:cs="Arial"/>
          <w:b/>
          <w:bCs/>
        </w:rPr>
        <w:t>:</w:t>
      </w:r>
      <w:r>
        <w:rPr>
          <w:rFonts w:ascii="Arial" w:eastAsia="Arial" w:hAnsi="Arial" w:cs="Arial"/>
          <w:b/>
          <w:bCs/>
        </w:rPr>
        <w:t xml:space="preserve"> </w:t>
      </w:r>
      <w:r w:rsidRPr="00E97C0C">
        <w:rPr>
          <w:rFonts w:ascii="Arial" w:eastAsia="Arial" w:hAnsi="Arial" w:cs="Arial"/>
        </w:rPr>
        <w:t xml:space="preserve">A </w:t>
      </w:r>
      <w:proofErr w:type="spellStart"/>
      <w:r w:rsidRPr="00E97C0C">
        <w:rPr>
          <w:rFonts w:ascii="Arial" w:eastAsia="Arial" w:hAnsi="Arial" w:cs="Arial"/>
        </w:rPr>
        <w:t>fordulókban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és</w:t>
      </w:r>
      <w:proofErr w:type="spellEnd"/>
      <w:r w:rsidRPr="00E97C0C">
        <w:rPr>
          <w:rFonts w:ascii="Arial" w:eastAsia="Arial" w:hAnsi="Arial" w:cs="Arial"/>
        </w:rPr>
        <w:t xml:space="preserve"> a </w:t>
      </w:r>
      <w:proofErr w:type="spellStart"/>
      <w:r w:rsidRPr="00E97C0C">
        <w:rPr>
          <w:rFonts w:ascii="Arial" w:eastAsia="Arial" w:hAnsi="Arial" w:cs="Arial"/>
        </w:rPr>
        <w:t>sarkokban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végzett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precíz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munka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megakadályozza</w:t>
      </w:r>
      <w:proofErr w:type="spellEnd"/>
      <w:r w:rsidRPr="00E97C0C">
        <w:rPr>
          <w:rFonts w:ascii="Arial" w:eastAsia="Arial" w:hAnsi="Arial" w:cs="Arial"/>
        </w:rPr>
        <w:t xml:space="preserve"> a </w:t>
      </w:r>
      <w:proofErr w:type="spellStart"/>
      <w:r w:rsidRPr="00E97C0C">
        <w:rPr>
          <w:rFonts w:ascii="Arial" w:eastAsia="Arial" w:hAnsi="Arial" w:cs="Arial"/>
        </w:rPr>
        <w:t>túlvetést</w:t>
      </w:r>
      <w:proofErr w:type="spellEnd"/>
      <w:r w:rsidRPr="00E97C0C">
        <w:rPr>
          <w:rFonts w:ascii="Arial" w:eastAsia="Arial" w:hAnsi="Arial" w:cs="Arial"/>
        </w:rPr>
        <w:t xml:space="preserve"> – </w:t>
      </w:r>
      <w:proofErr w:type="spellStart"/>
      <w:r w:rsidRPr="00E97C0C">
        <w:rPr>
          <w:rFonts w:ascii="Arial" w:eastAsia="Arial" w:hAnsi="Arial" w:cs="Arial"/>
        </w:rPr>
        <w:t>így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műtrágya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és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vetőmag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takarítható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meg</w:t>
      </w:r>
      <w:proofErr w:type="spellEnd"/>
      <w:r w:rsidRPr="00E97C0C">
        <w:rPr>
          <w:rFonts w:ascii="Arial" w:eastAsia="Arial" w:hAnsi="Arial" w:cs="Arial"/>
        </w:rPr>
        <w:t xml:space="preserve">, </w:t>
      </w:r>
      <w:proofErr w:type="spellStart"/>
      <w:r w:rsidRPr="00E97C0C">
        <w:rPr>
          <w:rFonts w:ascii="Arial" w:eastAsia="Arial" w:hAnsi="Arial" w:cs="Arial"/>
        </w:rPr>
        <w:t>és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csökken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az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inputanyagok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költsége</w:t>
      </w:r>
      <w:proofErr w:type="spellEnd"/>
      <w:r w:rsidRPr="00E97C0C">
        <w:rPr>
          <w:rFonts w:ascii="Arial" w:eastAsia="Arial" w:hAnsi="Arial" w:cs="Arial"/>
        </w:rPr>
        <w:t>.</w:t>
      </w:r>
    </w:p>
    <w:p w14:paraId="14C9E481" w14:textId="77777777" w:rsidR="00E97C0C" w:rsidRDefault="00E97C0C" w:rsidP="00C03ACD">
      <w:pPr>
        <w:pStyle w:val="Listenabsatz"/>
        <w:numPr>
          <w:ilvl w:val="0"/>
          <w:numId w:val="43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 w:rsidRPr="00E97C0C">
        <w:rPr>
          <w:rFonts w:ascii="Arial" w:eastAsia="Arial" w:hAnsi="Arial" w:cs="Arial"/>
          <w:b/>
          <w:bCs/>
        </w:rPr>
        <w:lastRenderedPageBreak/>
        <w:t>Hatékony</w:t>
      </w:r>
      <w:proofErr w:type="spellEnd"/>
      <w:r w:rsidRPr="00E97C0C">
        <w:rPr>
          <w:rFonts w:ascii="Arial" w:eastAsia="Arial" w:hAnsi="Arial" w:cs="Arial"/>
          <w:b/>
          <w:bCs/>
        </w:rPr>
        <w:t xml:space="preserve"> </w:t>
      </w:r>
      <w:proofErr w:type="spellStart"/>
      <w:r w:rsidRPr="00E97C0C">
        <w:rPr>
          <w:rFonts w:ascii="Arial" w:eastAsia="Arial" w:hAnsi="Arial" w:cs="Arial"/>
          <w:b/>
          <w:bCs/>
        </w:rPr>
        <w:t>műtrágya-ellátás</w:t>
      </w:r>
      <w:proofErr w:type="spellEnd"/>
      <w:r w:rsidRPr="00E97C0C">
        <w:rPr>
          <w:rFonts w:ascii="Arial" w:eastAsia="Arial" w:hAnsi="Arial" w:cs="Arial"/>
          <w:b/>
          <w:bCs/>
        </w:rPr>
        <w:t xml:space="preserve">: </w:t>
      </w:r>
      <w:r w:rsidRPr="00E97C0C">
        <w:rPr>
          <w:rFonts w:ascii="Arial" w:eastAsia="Arial" w:hAnsi="Arial" w:cs="Arial"/>
        </w:rPr>
        <w:t xml:space="preserve">A </w:t>
      </w:r>
      <w:proofErr w:type="spellStart"/>
      <w:r w:rsidRPr="00E97C0C">
        <w:rPr>
          <w:rFonts w:ascii="Arial" w:eastAsia="Arial" w:hAnsi="Arial" w:cs="Arial"/>
        </w:rPr>
        <w:t>műtrágya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pontos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adagolása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és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minden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egyes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maghoz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történő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precíz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kijuttatása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megakadályozza</w:t>
      </w:r>
      <w:proofErr w:type="spellEnd"/>
      <w:r w:rsidRPr="00E97C0C">
        <w:rPr>
          <w:rFonts w:ascii="Arial" w:eastAsia="Arial" w:hAnsi="Arial" w:cs="Arial"/>
        </w:rPr>
        <w:t xml:space="preserve"> a </w:t>
      </w:r>
      <w:proofErr w:type="spellStart"/>
      <w:r w:rsidRPr="00E97C0C">
        <w:rPr>
          <w:rFonts w:ascii="Arial" w:eastAsia="Arial" w:hAnsi="Arial" w:cs="Arial"/>
        </w:rPr>
        <w:t>túladagolást</w:t>
      </w:r>
      <w:proofErr w:type="spellEnd"/>
      <w:r w:rsidRPr="00E97C0C">
        <w:rPr>
          <w:rFonts w:ascii="Arial" w:eastAsia="Arial" w:hAnsi="Arial" w:cs="Arial"/>
        </w:rPr>
        <w:t>.</w:t>
      </w:r>
    </w:p>
    <w:p w14:paraId="56377AAA" w14:textId="6610278B" w:rsidR="00C03ACD" w:rsidRPr="00E97C0C" w:rsidRDefault="00E97C0C" w:rsidP="00C03ACD">
      <w:pPr>
        <w:pStyle w:val="Listenabsatz"/>
        <w:numPr>
          <w:ilvl w:val="0"/>
          <w:numId w:val="43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 w:rsidRPr="00E97C0C">
        <w:rPr>
          <w:rFonts w:ascii="Arial" w:eastAsia="Arial" w:hAnsi="Arial" w:cs="Arial"/>
          <w:b/>
          <w:bCs/>
        </w:rPr>
        <w:t>Költségmegtakarítás</w:t>
      </w:r>
      <w:proofErr w:type="spellEnd"/>
      <w:r w:rsidRPr="00E97C0C">
        <w:rPr>
          <w:rFonts w:ascii="Arial" w:eastAsia="Arial" w:hAnsi="Arial" w:cs="Arial"/>
          <w:b/>
          <w:bCs/>
        </w:rPr>
        <w:t xml:space="preserve">: </w:t>
      </w:r>
      <w:r w:rsidRPr="00E97C0C">
        <w:rPr>
          <w:rFonts w:ascii="Arial" w:eastAsia="Arial" w:hAnsi="Arial" w:cs="Arial"/>
        </w:rPr>
        <w:t xml:space="preserve">A </w:t>
      </w:r>
      <w:proofErr w:type="spellStart"/>
      <w:r w:rsidRPr="00E97C0C">
        <w:rPr>
          <w:rFonts w:ascii="Arial" w:eastAsia="Arial" w:hAnsi="Arial" w:cs="Arial"/>
        </w:rPr>
        <w:t>SynCrop</w:t>
      </w:r>
      <w:proofErr w:type="spellEnd"/>
      <w:r w:rsidRPr="00E97C0C">
        <w:rPr>
          <w:rFonts w:ascii="Arial" w:eastAsia="Arial" w:hAnsi="Arial" w:cs="Arial"/>
        </w:rPr>
        <w:t xml:space="preserve">, a </w:t>
      </w:r>
      <w:proofErr w:type="spellStart"/>
      <w:r w:rsidRPr="00E97C0C">
        <w:rPr>
          <w:rFonts w:ascii="Arial" w:eastAsia="Arial" w:hAnsi="Arial" w:cs="Arial"/>
        </w:rPr>
        <w:t>FertiSpot</w:t>
      </w:r>
      <w:proofErr w:type="spellEnd"/>
      <w:r w:rsidRPr="00E97C0C">
        <w:rPr>
          <w:rFonts w:ascii="Arial" w:eastAsia="Arial" w:hAnsi="Arial" w:cs="Arial"/>
        </w:rPr>
        <w:t xml:space="preserve">, a </w:t>
      </w:r>
      <w:proofErr w:type="spellStart"/>
      <w:r w:rsidRPr="00E97C0C">
        <w:rPr>
          <w:rFonts w:ascii="Arial" w:eastAsia="Arial" w:hAnsi="Arial" w:cs="Arial"/>
        </w:rPr>
        <w:t>Section</w:t>
      </w:r>
      <w:proofErr w:type="spellEnd"/>
      <w:r w:rsidRPr="00E97C0C">
        <w:rPr>
          <w:rFonts w:ascii="Arial" w:eastAsia="Arial" w:hAnsi="Arial" w:cs="Arial"/>
        </w:rPr>
        <w:t xml:space="preserve"> Control </w:t>
      </w:r>
      <w:proofErr w:type="spellStart"/>
      <w:r w:rsidRPr="00E97C0C">
        <w:rPr>
          <w:rFonts w:ascii="Arial" w:eastAsia="Arial" w:hAnsi="Arial" w:cs="Arial"/>
        </w:rPr>
        <w:t>és</w:t>
      </w:r>
      <w:proofErr w:type="spellEnd"/>
      <w:r w:rsidRPr="00E97C0C">
        <w:rPr>
          <w:rFonts w:ascii="Arial" w:eastAsia="Arial" w:hAnsi="Arial" w:cs="Arial"/>
        </w:rPr>
        <w:t xml:space="preserve"> a </w:t>
      </w:r>
      <w:proofErr w:type="spellStart"/>
      <w:r w:rsidRPr="00E97C0C">
        <w:rPr>
          <w:rFonts w:ascii="Arial" w:eastAsia="Arial" w:hAnsi="Arial" w:cs="Arial"/>
        </w:rPr>
        <w:t>CurveControl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kombinációjával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akár</w:t>
      </w:r>
      <w:proofErr w:type="spellEnd"/>
      <w:r w:rsidRPr="00E97C0C">
        <w:rPr>
          <w:rFonts w:ascii="Arial" w:eastAsia="Arial" w:hAnsi="Arial" w:cs="Arial"/>
        </w:rPr>
        <w:t xml:space="preserve"> 30%-</w:t>
      </w:r>
      <w:proofErr w:type="spellStart"/>
      <w:r w:rsidRPr="00E97C0C">
        <w:rPr>
          <w:rFonts w:ascii="Arial" w:eastAsia="Arial" w:hAnsi="Arial" w:cs="Arial"/>
        </w:rPr>
        <w:t>os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műtrágya-megtakarítás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is</w:t>
      </w:r>
      <w:proofErr w:type="spellEnd"/>
      <w:r w:rsidRPr="00E97C0C">
        <w:rPr>
          <w:rFonts w:ascii="Arial" w:eastAsia="Arial" w:hAnsi="Arial" w:cs="Arial"/>
        </w:rPr>
        <w:t xml:space="preserve"> </w:t>
      </w:r>
      <w:proofErr w:type="spellStart"/>
      <w:r w:rsidRPr="00E97C0C">
        <w:rPr>
          <w:rFonts w:ascii="Arial" w:eastAsia="Arial" w:hAnsi="Arial" w:cs="Arial"/>
        </w:rPr>
        <w:t>elérhető</w:t>
      </w:r>
      <w:proofErr w:type="spellEnd"/>
      <w:r w:rsidRPr="00E97C0C">
        <w:rPr>
          <w:rFonts w:ascii="Arial" w:eastAsia="Arial" w:hAnsi="Arial" w:cs="Arial"/>
        </w:rPr>
        <w:t>.</w:t>
      </w:r>
    </w:p>
    <w:p w14:paraId="1833AC68" w14:textId="77777777" w:rsidR="00C03ACD" w:rsidRPr="00F17946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69BF91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D8B801" w14:textId="5947DBF6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4CE46BB" wp14:editId="1E0BCB06">
            <wp:extent cx="3477600" cy="2880000"/>
            <wp:effectExtent l="0" t="0" r="2540" b="3175"/>
            <wp:docPr id="20310110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011098" name="Grafik 203101109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6CE8B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Szemenkénti vetőgép Precea 6000-2FCC innovatív megoldásokkal a vetőmag és műtrágya kijuttatásának maximális pontosságáért</w:t>
      </w:r>
    </w:p>
    <w:p w14:paraId="073F8B53" w14:textId="77777777" w:rsidR="00C03ACD" w:rsidRPr="00E97C0C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FCA9756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FFA164" w14:textId="60DE6920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F73EDD4" wp14:editId="2B8164FB">
            <wp:extent cx="3834000" cy="2880000"/>
            <wp:effectExtent l="0" t="0" r="1905" b="3175"/>
            <wp:docPr id="11591312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13123" name="Grafik 1159131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ED0D6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 xml:space="preserve">Precea termékcsalád soronkénti lekapcsolással </w:t>
      </w:r>
    </w:p>
    <w:p w14:paraId="74B7C6C4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9A184D" w14:textId="1AAF72BE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7D194DA" wp14:editId="4B26D335">
            <wp:extent cx="4064400" cy="2880000"/>
            <wp:effectExtent l="0" t="0" r="0" b="3175"/>
            <wp:docPr id="176577636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776369" name="Grafik 176577636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90454" w14:textId="77777777" w:rsid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 xml:space="preserve">Szegmens-elosztófej műtrágya-visszavezetéssel a műtrágya pontos, gyors kikapcsolásához </w:t>
      </w:r>
    </w:p>
    <w:p w14:paraId="4F2004B4" w14:textId="77777777" w:rsid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CC182FF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C44B79B" w14:textId="10990321" w:rsidR="00C03ACD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noProof/>
          <w:lang w:val="hu-HU"/>
        </w:rPr>
        <w:lastRenderedPageBreak/>
        <w:drawing>
          <wp:inline distT="0" distB="0" distL="0" distR="0" wp14:anchorId="38F9DF21" wp14:editId="1DF9624A">
            <wp:extent cx="4064400" cy="2876244"/>
            <wp:effectExtent l="0" t="0" r="0" b="635"/>
            <wp:docPr id="104175943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59438" name="Grafik 1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0C3BB" w14:textId="77777777" w:rsidR="004B7EB0" w:rsidRPr="004B7EB0" w:rsidRDefault="004B7EB0" w:rsidP="004B7EB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B7EB0">
        <w:rPr>
          <w:rFonts w:ascii="Arial" w:eastAsia="Arial" w:hAnsi="Arial" w:cs="Arial"/>
          <w:lang w:val="hu-HU"/>
        </w:rPr>
        <w:t>Az innovatív megoldások, amelyek révén a vetőmag és a műtrágya precízen kijuttatható a Precea szemenkénti vetőgépekkel, maximális kompatibilitást biztosítanak</w:t>
      </w:r>
    </w:p>
    <w:p w14:paraId="556CDA2B" w14:textId="77777777" w:rsidR="00C03ACD" w:rsidRPr="004B7EB0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594938D" w14:textId="6EAFF92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2B9DA02" wp14:editId="796A9C00">
            <wp:extent cx="4064400" cy="2880000"/>
            <wp:effectExtent l="0" t="0" r="0" b="3175"/>
            <wp:docPr id="75695820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958205" name="Grafik 75695820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</w:rPr>
        <w:drawing>
          <wp:inline distT="0" distB="0" distL="0" distR="0" wp14:anchorId="6FF62F65" wp14:editId="43003128">
            <wp:extent cx="4064400" cy="2880000"/>
            <wp:effectExtent l="0" t="0" r="0" b="3175"/>
            <wp:docPr id="561632556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632556" name="Grafik 56163255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FEF6C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FertiSpot alkalmazása: kukoricában közvetlenül a mag alá, cukorrépában a növénysorok közé</w:t>
      </w:r>
    </w:p>
    <w:p w14:paraId="25052161" w14:textId="77777777" w:rsidR="00C03ACD" w:rsidRPr="00E97C0C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D1F7DE9" w14:textId="77777777" w:rsidR="00C03ACD" w:rsidRP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1D3482" w14:textId="27A3AC8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D1E8A83" wp14:editId="1CD56E96">
            <wp:extent cx="3016800" cy="2880000"/>
            <wp:effectExtent l="0" t="0" r="6350" b="3175"/>
            <wp:docPr id="26458624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586246" name="Grafik 26458624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C81A6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A FertiSpot adagoló porciózó szárnya összegyűjti és adagokban juttatja ki a műtrágyát.</w:t>
      </w:r>
    </w:p>
    <w:p w14:paraId="03369C8B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 xml:space="preserve">1. </w:t>
      </w:r>
      <w:r w:rsidRPr="00E97C0C">
        <w:rPr>
          <w:rFonts w:ascii="Arial" w:eastAsia="Arial" w:hAnsi="Arial" w:cs="Arial"/>
          <w:lang w:val="hu-HU"/>
        </w:rPr>
        <w:t xml:space="preserve">Műtrágyatartály: A gyökér alatti műtrágya felhalmozása </w:t>
      </w:r>
    </w:p>
    <w:p w14:paraId="61202ECD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>2.</w:t>
      </w:r>
      <w:r w:rsidRPr="00E97C0C">
        <w:rPr>
          <w:rFonts w:ascii="Arial" w:eastAsia="Arial" w:hAnsi="Arial" w:cs="Arial"/>
          <w:lang w:val="hu-HU"/>
        </w:rPr>
        <w:t xml:space="preserve"> Adagoló: A műtrágya mennyiségi adagolása</w:t>
      </w:r>
    </w:p>
    <w:p w14:paraId="2AB0520E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b/>
          <w:bCs/>
          <w:lang w:val="hu-HU"/>
        </w:rPr>
        <w:t>3.</w:t>
      </w:r>
      <w:r w:rsidRPr="00E97C0C">
        <w:rPr>
          <w:rFonts w:ascii="Arial" w:eastAsia="Arial" w:hAnsi="Arial" w:cs="Arial"/>
          <w:lang w:val="hu-HU"/>
        </w:rPr>
        <w:t xml:space="preserve"> Porciózó: A műtrágya porciózása </w:t>
      </w:r>
    </w:p>
    <w:p w14:paraId="03177ED3" w14:textId="4948BCED" w:rsidR="00C03ACD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E97C0C">
        <w:rPr>
          <w:rFonts w:ascii="Arial" w:eastAsia="Arial" w:hAnsi="Arial" w:cs="Arial"/>
          <w:b/>
          <w:bCs/>
          <w:lang w:val="hu-HU"/>
        </w:rPr>
        <w:t>4.</w:t>
      </w:r>
      <w:r w:rsidRPr="00E97C0C">
        <w:rPr>
          <w:rFonts w:ascii="Arial" w:eastAsia="Arial" w:hAnsi="Arial" w:cs="Arial"/>
          <w:lang w:val="hu-HU"/>
        </w:rPr>
        <w:t xml:space="preserve"> Műtrágyacsoroszlya: Bejuttatás a talajba</w:t>
      </w:r>
    </w:p>
    <w:p w14:paraId="57D20483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A656EA" w14:textId="50F997C7" w:rsidR="004319BE" w:rsidRDefault="004319B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471608D6" w14:textId="78CEE668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46A0D5B" wp14:editId="580D99E3">
            <wp:extent cx="4064400" cy="2880000"/>
            <wp:effectExtent l="0" t="0" r="0" b="3175"/>
            <wp:docPr id="2017787294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787294" name="Grafik 201778729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361AF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MultiSpot: A műtrágyát sok kis adagban kell kijuttatni, például repce esetében</w:t>
      </w:r>
    </w:p>
    <w:p w14:paraId="52DA810D" w14:textId="77777777" w:rsidR="00C03ACD" w:rsidRPr="00E97C0C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068A18B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04EA36" w14:textId="7CC4354E" w:rsidR="00C03ACD" w:rsidRPr="00C03ACD" w:rsidRDefault="00E97C0C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E3DD96A" wp14:editId="76C5D13F">
            <wp:extent cx="4064400" cy="2876244"/>
            <wp:effectExtent l="0" t="0" r="0" b="635"/>
            <wp:docPr id="131812754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127549" name="Grafik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F5FB0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Pontos műtrágyaadagolás kanyarokban is</w:t>
      </w:r>
    </w:p>
    <w:p w14:paraId="1F44E031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876D2E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F0041F" w14:textId="63C196E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4C70D23" wp14:editId="6CE0CFF9">
            <wp:extent cx="4064400" cy="2880000"/>
            <wp:effectExtent l="0" t="0" r="0" b="3175"/>
            <wp:docPr id="1933877027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877027" name="Grafik 193387702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A98DD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Kukoricaültetés háromszög-elrendezéssel – az egyes növények a szomszédos sorhoz képest eltolva helyezkednek el</w:t>
      </w:r>
    </w:p>
    <w:p w14:paraId="2202D863" w14:textId="77777777" w:rsidR="00C03ACD" w:rsidRPr="00E97C0C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15FEEA0" w14:textId="77777777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79088F" w14:textId="027A668E" w:rsidR="00C03ACD" w:rsidRDefault="00C03ACD" w:rsidP="00C03AC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CBD18F3" wp14:editId="5A46E58A">
            <wp:extent cx="3477600" cy="2880000"/>
            <wp:effectExtent l="0" t="0" r="2540" b="3175"/>
            <wp:docPr id="1571907747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907747" name="Grafik 157190774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6A105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97C0C">
        <w:rPr>
          <w:rFonts w:ascii="Arial" w:eastAsia="Arial" w:hAnsi="Arial" w:cs="Arial"/>
          <w:lang w:val="hu-HU"/>
        </w:rPr>
        <w:t>Precea 6000-TCC szemenkénti vetőgép</w:t>
      </w:r>
    </w:p>
    <w:p w14:paraId="654DBBB9" w14:textId="6A78F8D6" w:rsidR="004319BE" w:rsidRDefault="004319B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14F63F7C" w14:textId="77777777" w:rsidR="00E97C0C" w:rsidRPr="00E97C0C" w:rsidRDefault="00E97C0C" w:rsidP="00E97C0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45EE41A0" w14:textId="77777777" w:rsidR="00E97C0C" w:rsidRPr="00E97C0C" w:rsidRDefault="00E97C0C" w:rsidP="00E97C0C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0587F33" w14:textId="77777777" w:rsidR="00E97C0C" w:rsidRPr="00E97C0C" w:rsidRDefault="00E97C0C" w:rsidP="00E97C0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E97C0C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E97C0C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E97C0C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3E14ACD5" w14:textId="77777777" w:rsidR="00E97C0C" w:rsidRPr="00B23CFC" w:rsidRDefault="00E97C0C" w:rsidP="00E97C0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97C0C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E97C0C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B23CFC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23CFC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B23CFC">
        <w:rPr>
          <w:rFonts w:ascii="Arial" w:hAnsi="Arial"/>
          <w:color w:val="808080" w:themeColor="background1" w:themeShade="80"/>
          <w:sz w:val="20"/>
        </w:rPr>
        <w:t>.</w:t>
      </w:r>
    </w:p>
    <w:p w14:paraId="3A373109" w14:textId="77777777" w:rsidR="00E97C0C" w:rsidRPr="00E12CE4" w:rsidRDefault="00E97C0C" w:rsidP="00E97C0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20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7260EEF2" w14:textId="77777777" w:rsidR="00E97C0C" w:rsidRDefault="00E97C0C" w:rsidP="00E97C0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BBBC176" wp14:editId="3CF995F9">
            <wp:extent cx="241300" cy="241300"/>
            <wp:effectExtent l="0" t="0" r="6350" b="6350"/>
            <wp:docPr id="13" name="Grafik 13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DFB3D95" wp14:editId="3A766BF3">
            <wp:extent cx="241300" cy="241300"/>
            <wp:effectExtent l="0" t="0" r="6350" b="6350"/>
            <wp:docPr id="12" name="Grafik 12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C18158D" wp14:editId="72FFBEFA">
            <wp:extent cx="241300" cy="241300"/>
            <wp:effectExtent l="0" t="0" r="6350" b="6350"/>
            <wp:docPr id="11" name="Grafik 11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84E674B" wp14:editId="52DD866E">
            <wp:extent cx="241300" cy="241300"/>
            <wp:effectExtent l="0" t="0" r="6350" b="6350"/>
            <wp:docPr id="10" name="Grafik 10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77B102A" wp14:editId="6727EBCE">
            <wp:extent cx="241300" cy="241300"/>
            <wp:effectExtent l="0" t="0" r="6350" b="6350"/>
            <wp:docPr id="7" name="Grafik 7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28711318" w:rsidR="00A46482" w:rsidRDefault="00A46482" w:rsidP="00E97C0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6"/>
      <w:footerReference w:type="defaul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E8F0B" w14:textId="77777777" w:rsidR="007A57AE" w:rsidRDefault="007A57AE">
      <w:r>
        <w:separator/>
      </w:r>
    </w:p>
  </w:endnote>
  <w:endnote w:type="continuationSeparator" w:id="0">
    <w:p w14:paraId="7866D423" w14:textId="77777777" w:rsidR="007A57AE" w:rsidRDefault="007A57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3364C7B1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7C5B71F" w14:textId="77777777" w:rsidR="00E97C0C" w:rsidRPr="0093254A" w:rsidRDefault="00E97C0C" w:rsidP="00E97C0C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470EC859" w14:textId="77777777" w:rsidR="00E97C0C" w:rsidRPr="0093254A" w:rsidRDefault="00E97C0C" w:rsidP="00E97C0C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3C4D97CF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7C5B71F" w14:textId="77777777" w:rsidR="00E97C0C" w:rsidRPr="0093254A" w:rsidRDefault="00E97C0C" w:rsidP="00E97C0C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470EC859" w14:textId="77777777" w:rsidR="00E97C0C" w:rsidRPr="0093254A" w:rsidRDefault="00E97C0C" w:rsidP="00E97C0C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3C4D97CF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4055A37" w14:textId="77777777" w:rsidR="00E97C0C" w:rsidRPr="0093254A" w:rsidRDefault="00E97C0C" w:rsidP="00E97C0C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2C629BBD" w14:textId="77777777" w:rsidR="00E97C0C" w:rsidRPr="00D744EF" w:rsidRDefault="00E97C0C" w:rsidP="00E97C0C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5DFD7E7F" w14:textId="77777777" w:rsidR="00E97C0C" w:rsidRPr="0093254A" w:rsidRDefault="00E97C0C" w:rsidP="00E97C0C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401F8385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4055A37" w14:textId="77777777" w:rsidR="00E97C0C" w:rsidRPr="0093254A" w:rsidRDefault="00E97C0C" w:rsidP="00E97C0C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2C629BBD" w14:textId="77777777" w:rsidR="00E97C0C" w:rsidRPr="00D744EF" w:rsidRDefault="00E97C0C" w:rsidP="00E97C0C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5DFD7E7F" w14:textId="77777777" w:rsidR="00E97C0C" w:rsidRPr="0093254A" w:rsidRDefault="00E97C0C" w:rsidP="00E97C0C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401F8385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7D03C6" w14:textId="77777777" w:rsidR="007A57AE" w:rsidRDefault="007A57AE">
      <w:r>
        <w:separator/>
      </w:r>
    </w:p>
  </w:footnote>
  <w:footnote w:type="continuationSeparator" w:id="0">
    <w:p w14:paraId="2423076F" w14:textId="77777777" w:rsidR="007A57AE" w:rsidRDefault="007A57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9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5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7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8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3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8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7"/>
  </w:num>
  <w:num w:numId="8" w16cid:durableId="33434184">
    <w:abstractNumId w:val="25"/>
  </w:num>
  <w:num w:numId="9" w16cid:durableId="274018629">
    <w:abstractNumId w:val="34"/>
  </w:num>
  <w:num w:numId="10" w16cid:durableId="1622229493">
    <w:abstractNumId w:val="36"/>
  </w:num>
  <w:num w:numId="11" w16cid:durableId="280575959">
    <w:abstractNumId w:val="29"/>
  </w:num>
  <w:num w:numId="12" w16cid:durableId="169492611">
    <w:abstractNumId w:val="39"/>
  </w:num>
  <w:num w:numId="13" w16cid:durableId="711804392">
    <w:abstractNumId w:val="40"/>
  </w:num>
  <w:num w:numId="14" w16cid:durableId="614945063">
    <w:abstractNumId w:val="4"/>
  </w:num>
  <w:num w:numId="15" w16cid:durableId="787310930">
    <w:abstractNumId w:val="22"/>
  </w:num>
  <w:num w:numId="16" w16cid:durableId="1954821959">
    <w:abstractNumId w:val="24"/>
  </w:num>
  <w:num w:numId="17" w16cid:durableId="1429236192">
    <w:abstractNumId w:val="3"/>
  </w:num>
  <w:num w:numId="18" w16cid:durableId="801196723">
    <w:abstractNumId w:val="42"/>
  </w:num>
  <w:num w:numId="19" w16cid:durableId="595864091">
    <w:abstractNumId w:val="14"/>
  </w:num>
  <w:num w:numId="20" w16cid:durableId="2085832550">
    <w:abstractNumId w:val="33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8"/>
  </w:num>
  <w:num w:numId="25" w16cid:durableId="952515695">
    <w:abstractNumId w:val="12"/>
  </w:num>
  <w:num w:numId="26" w16cid:durableId="741101877">
    <w:abstractNumId w:val="20"/>
  </w:num>
  <w:num w:numId="27" w16cid:durableId="1955868104">
    <w:abstractNumId w:val="11"/>
  </w:num>
  <w:num w:numId="28" w16cid:durableId="1288392759">
    <w:abstractNumId w:val="17"/>
  </w:num>
  <w:num w:numId="29" w16cid:durableId="1930917636">
    <w:abstractNumId w:val="16"/>
  </w:num>
  <w:num w:numId="30" w16cid:durableId="133837937">
    <w:abstractNumId w:val="8"/>
  </w:num>
  <w:num w:numId="31" w16cid:durableId="1949579619">
    <w:abstractNumId w:val="31"/>
  </w:num>
  <w:num w:numId="32" w16cid:durableId="2112696074">
    <w:abstractNumId w:val="26"/>
  </w:num>
  <w:num w:numId="33" w16cid:durableId="168763437">
    <w:abstractNumId w:val="9"/>
  </w:num>
  <w:num w:numId="34" w16cid:durableId="740366733">
    <w:abstractNumId w:val="35"/>
  </w:num>
  <w:num w:numId="35" w16cid:durableId="397358972">
    <w:abstractNumId w:val="19"/>
  </w:num>
  <w:num w:numId="36" w16cid:durableId="2060278956">
    <w:abstractNumId w:val="41"/>
  </w:num>
  <w:num w:numId="37" w16cid:durableId="1624076177">
    <w:abstractNumId w:val="32"/>
  </w:num>
  <w:num w:numId="38" w16cid:durableId="1617178793">
    <w:abstractNumId w:val="30"/>
  </w:num>
  <w:num w:numId="39" w16cid:durableId="1835024161">
    <w:abstractNumId w:val="15"/>
  </w:num>
  <w:num w:numId="40" w16cid:durableId="978071882">
    <w:abstractNumId w:val="7"/>
  </w:num>
  <w:num w:numId="41" w16cid:durableId="326906566">
    <w:abstractNumId w:val="27"/>
  </w:num>
  <w:num w:numId="42" w16cid:durableId="752749325">
    <w:abstractNumId w:val="21"/>
  </w:num>
  <w:num w:numId="43" w16cid:durableId="91567109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3EDC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211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4BA9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D58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3AB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19BE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EB0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17B4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A57AE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76D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0F3B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3CFC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ACD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469D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20F5"/>
    <w:rsid w:val="00DD366B"/>
    <w:rsid w:val="00DD394E"/>
    <w:rsid w:val="00DD430B"/>
    <w:rsid w:val="00DD482B"/>
    <w:rsid w:val="00DD4968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97C0C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cid:IG_efb650a7-31e4-4674-98db-f2d2d5c58dce.jpg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www.facebook.com/amazone.group" TargetMode="External"/><Relationship Id="rId34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4.jpeg"/><Relationship Id="rId33" Type="http://schemas.openxmlformats.org/officeDocument/2006/relationships/hyperlink" Target="https://www.xing.com/company/amazone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amazone.hu" TargetMode="External"/><Relationship Id="rId29" Type="http://schemas.openxmlformats.org/officeDocument/2006/relationships/image" Target="cid:YT_e9180d16-5a2b-4618-92e9-22a015f9cafb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instagram.com/amazone_group" TargetMode="External"/><Relationship Id="rId32" Type="http://schemas.openxmlformats.org/officeDocument/2006/relationships/image" Target="cid:LinkedIn_80de4e9c-c7a3-41e3-8e11-063f7eace13d.jpg" TargetMode="External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FB_70d43fd1-a841-4de4-bbaa-3e1f495f95d3.jpg" TargetMode="External"/><Relationship Id="rId28" Type="http://schemas.openxmlformats.org/officeDocument/2006/relationships/image" Target="media/image15.jpeg"/><Relationship Id="rId36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hyperlink" Target="https://www.youtube.com/user/amazonede" TargetMode="External"/><Relationship Id="rId30" Type="http://schemas.openxmlformats.org/officeDocument/2006/relationships/hyperlink" Target="https://www.linkedin.com/company/amazone-group/" TargetMode="External"/><Relationship Id="rId35" Type="http://schemas.openxmlformats.org/officeDocument/2006/relationships/image" Target="cid:Xing1_e3730686-2953-47a9-9c47-dbaa518a9207.jpg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934</Words>
  <Characters>6778</Characters>
  <Application>Microsoft Office Word</Application>
  <DocSecurity>0</DocSecurity>
  <Lines>56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7697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2025-08-18T10:43:00Z</dcterms:created>
  <dcterms:modified xsi:type="dcterms:W3CDTF">2025-09-02T14:05:00Z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