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0D0C75" w14:textId="77777777" w:rsidR="00EC1F4D" w:rsidRPr="00EC1F4D" w:rsidRDefault="00EC1F4D" w:rsidP="00EC1F4D">
      <w:pPr>
        <w:spacing w:line="360" w:lineRule="auto"/>
        <w:ind w:left="567" w:right="1695"/>
        <w:rPr>
          <w:rFonts w:ascii="Arial" w:hAnsi="Arial" w:cs="Arial"/>
          <w:b/>
          <w:bCs/>
          <w:sz w:val="28"/>
          <w:szCs w:val="28"/>
        </w:rPr>
      </w:pPr>
      <w:r>
        <w:rPr>
          <w:rFonts w:ascii="Arial" w:hAnsi="Arial"/>
          <w:b/>
          <w:sz w:val="28"/>
        </w:rPr>
        <w:t>Kombinacje wałów tnących TopCut 5000-2 i 6000-2</w:t>
      </w:r>
    </w:p>
    <w:p w14:paraId="7D671EFA" w14:textId="77777777" w:rsidR="00EC1F4D" w:rsidRPr="00EC1F4D" w:rsidRDefault="00EC1F4D" w:rsidP="00EC1F4D">
      <w:pPr>
        <w:spacing w:line="360" w:lineRule="auto"/>
        <w:ind w:left="567" w:right="1695"/>
        <w:rPr>
          <w:rFonts w:ascii="Arial" w:hAnsi="Arial" w:cs="Arial"/>
          <w:b/>
          <w:bCs/>
        </w:rPr>
      </w:pPr>
      <w:r>
        <w:rPr>
          <w:rFonts w:ascii="Arial" w:hAnsi="Arial"/>
          <w:b/>
        </w:rPr>
        <w:t>Możliwość uniwersalnego stosowania przez cały rok</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 xml:space="preserve">Ultra płytka uprawa gleby </w:t>
      </w:r>
    </w:p>
    <w:p w14:paraId="1F2C697F" w14:textId="20688F94" w:rsidR="00EC1F4D" w:rsidRPr="00EC1F4D" w:rsidRDefault="00EC1F4D" w:rsidP="00EC1F4D">
      <w:pPr>
        <w:spacing w:after="120" w:line="360" w:lineRule="auto"/>
        <w:ind w:left="567" w:right="1695"/>
        <w:rPr>
          <w:rFonts w:ascii="Arial" w:eastAsia="Arial" w:hAnsi="Arial" w:cs="Arial"/>
        </w:rPr>
      </w:pPr>
      <w:r>
        <w:rPr>
          <w:rFonts w:ascii="Arial" w:hAnsi="Arial"/>
        </w:rPr>
        <w:t>Uprawa gleby staje się coraz ważniejsza w rolnictwie, zwłaszcza w obliczu rosnących wyzwań związanych z suszą, odpornością i wymogami ograniczenia stosowania pestycydów. Kluczową rolę odgrywają tu ultra płytka uprawa gleby, uprawa ściernisk i zarządzanie poplonami.</w:t>
      </w:r>
      <w:r w:rsidR="0028099A" w:rsidRPr="0028099A">
        <w:rPr>
          <w:rFonts w:ascii="Arial" w:hAnsi="Arial"/>
        </w:rPr>
        <w:t xml:space="preserve"> </w:t>
      </w:r>
      <w:r w:rsidR="0028099A">
        <w:rPr>
          <w:rFonts w:ascii="Arial" w:hAnsi="Arial"/>
        </w:rPr>
        <w:t>Aby sprostać rosnącym wymaganiom w rolnictwie, AMAZONE wprowadza teraz TopCut 5000-2 i 6000-2 w szerokościach roboczych 5 m i 6 m, po TopCut 12000-2T.</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Optymalne warunki do kiełkowania</w:t>
      </w:r>
    </w:p>
    <w:p w14:paraId="380C0B4E" w14:textId="77777777" w:rsidR="00EC1F4D" w:rsidRPr="00EC1F4D" w:rsidRDefault="00EC1F4D" w:rsidP="00EC1F4D">
      <w:pPr>
        <w:spacing w:after="120" w:line="360" w:lineRule="auto"/>
        <w:ind w:left="567" w:right="1695"/>
        <w:rPr>
          <w:rFonts w:ascii="Arial" w:eastAsia="Arial" w:hAnsi="Arial" w:cs="Arial"/>
        </w:rPr>
      </w:pPr>
      <w:r>
        <w:rPr>
          <w:rFonts w:ascii="Arial" w:hAnsi="Arial"/>
        </w:rPr>
        <w:t>Pierwsza uprawa ścierniska powinna stworzyć idealne podłoże do wschodów samosiewów zbóż i nasion chwastów. Pozwala to wykiełkować niepożądanym roślinom bezpośrednio po uprawie ścierniska i mechaniczne zwalczyć je w drugim etapie uprawy. Bardzo płytka uprawa zapewniająca optymalne warunki do kiełkowania odgrywa decydującą rolę, szczególnie w przypadku wschodów starego rzepaku oraz na obszarach problematycznych z wyczyńcem polnym i miotłą zbożową. Nasion nie należy mieszać zbyt głęboko z glebą, aby nie przeszły w stan uśpienia. Ten rodzaj mechanicznego zwalczania chwastów może znacznie zmniejszyć ilość wymaganych pestycydów.</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Mineralizacja substancji organicznych</w:t>
      </w:r>
    </w:p>
    <w:p w14:paraId="4AD3B7EE" w14:textId="77777777" w:rsidR="00EC1F4D" w:rsidRPr="00EC1F4D" w:rsidRDefault="00EC1F4D" w:rsidP="00EC1F4D">
      <w:pPr>
        <w:spacing w:after="120" w:line="360" w:lineRule="auto"/>
        <w:ind w:left="567" w:right="1695"/>
        <w:rPr>
          <w:rFonts w:ascii="Arial" w:eastAsia="Arial" w:hAnsi="Arial" w:cs="Arial"/>
        </w:rPr>
      </w:pPr>
      <w:r>
        <w:rPr>
          <w:rFonts w:ascii="Arial" w:hAnsi="Arial"/>
        </w:rPr>
        <w:t>Dobry rozkład materiałów organicznych ma zasadnicze znaczenie dla higieny na polu. Intensywne rozrywanie i rozdrabnianie materii organicznej przyspiesza jej rozkład przez mikroorganizmy i organizmy glebowe. Zmniejsza to przenoszenie chorób grzybowych i szkodników oraz poprawia dostępność składników odżywczych z resztek roślinnych.</w:t>
      </w:r>
    </w:p>
    <w:p w14:paraId="3744157B" w14:textId="77777777" w:rsidR="00EC1F4D" w:rsidRPr="00EC1F4D" w:rsidRDefault="00EC1F4D" w:rsidP="00EC1F4D">
      <w:pPr>
        <w:spacing w:after="120" w:line="360" w:lineRule="auto"/>
        <w:ind w:left="567" w:right="1695"/>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Oszczędzanie wody</w:t>
      </w:r>
    </w:p>
    <w:p w14:paraId="6A9148F7" w14:textId="77777777" w:rsidR="00EC1F4D" w:rsidRPr="00EC1F4D" w:rsidRDefault="00EC1F4D" w:rsidP="00EC1F4D">
      <w:pPr>
        <w:spacing w:after="120" w:line="360" w:lineRule="auto"/>
        <w:ind w:left="567" w:right="1695"/>
        <w:rPr>
          <w:rFonts w:ascii="Arial" w:eastAsia="Arial" w:hAnsi="Arial" w:cs="Arial"/>
        </w:rPr>
      </w:pPr>
      <w:r>
        <w:rPr>
          <w:rFonts w:ascii="Arial" w:hAnsi="Arial"/>
        </w:rPr>
        <w:lastRenderedPageBreak/>
        <w:t xml:space="preserve">W związku z nasilającą się letnią suszą ważne jest ograniczenie parowania. Ze względu na ultra płaską uprawę, kapilarność jest przerywana tylko w górnej warstwie. Struktura gleby pod spodem pozostaje nieobrobiona, dzięki czemu może szybciej wchłaniać wilgoć podczas deszczu. Ważne jest również zapewnienie równomiernego rozłożenia słomy lub materii organicznej na polu. Równomierne pokrycie słomą utrzymuje wilgoć w glebie i służy jako warstwa izolacyjna w suchych latach.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Pr>
          <w:rFonts w:ascii="Arial" w:hAnsi="Arial"/>
          <w:b/>
        </w:rPr>
        <w:t>Kombinacje wałów tnących TopCut 5000-2 i 6000-2</w:t>
      </w:r>
    </w:p>
    <w:p w14:paraId="405F3799" w14:textId="1AE623E6" w:rsidR="00EC1F4D" w:rsidRPr="00EC1F4D" w:rsidRDefault="00EC1F4D" w:rsidP="00EC1F4D">
      <w:pPr>
        <w:spacing w:after="120" w:line="360" w:lineRule="auto"/>
        <w:ind w:left="567" w:right="1695"/>
        <w:rPr>
          <w:rFonts w:ascii="Arial" w:eastAsia="Arial" w:hAnsi="Arial" w:cs="Arial"/>
        </w:rPr>
      </w:pPr>
      <w:r>
        <w:rPr>
          <w:rFonts w:ascii="Arial" w:hAnsi="Arial"/>
        </w:rPr>
        <w:t>Maszyna zawieszana składa się z narzędzia głównego z 2 wałami nożowymi pracującymi jeden za drugim i może być dodatkowo opcjonalnie wyposażona w zagarniacz trzyrzędowy. Wały nożowe znane z bron talerzowych nadają się do intensywnego rozdrabniania długich resztek roślinnych, takich jak łodygi rzepaku, łodygi słonecznika lub poplony. Wały nożowe intensywnie tną i rozdrabniają resztki roślinne, co znacznie przyspiesza proces ich rozkładu. Ponadto, pomimo płytkiej uprawy na głębokości 0– 2 cm, wały nożowe wytwarzają wystarczająco dużo drobnych gruzełków, aby zapewnić optymalne podłoże do siewu, co sprzyja kiełkowaniu nasion chwastów i niedomłotów zbóż. Podwójny wał nożowy może być również używany do przygotowania podłoża siewnego. Wysoka prędkość obrotowa zapewnia bardzo dobry efekt kruszenia.</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Bronowanie w celu równomiernego rozprowadzenia materii organicznej</w:t>
      </w:r>
    </w:p>
    <w:p w14:paraId="4F660002" w14:textId="77777777" w:rsidR="00EC1F4D" w:rsidRPr="00EC1F4D" w:rsidRDefault="00EC1F4D" w:rsidP="00EC1F4D">
      <w:pPr>
        <w:spacing w:after="120" w:line="360" w:lineRule="auto"/>
        <w:ind w:left="567" w:right="1695"/>
        <w:rPr>
          <w:rFonts w:ascii="Arial" w:eastAsia="Arial" w:hAnsi="Arial" w:cs="Arial"/>
        </w:rPr>
      </w:pPr>
      <w:r>
        <w:rPr>
          <w:rFonts w:ascii="Arial" w:hAnsi="Arial"/>
        </w:rPr>
        <w:t>Aby jeszcze bardziej poprawić rozprowadzenie słomy po żniwach głównymi narzędziami można opcjonalnie użyć trzyrzędowego zagarniacza. Poza lepszym rozłożeniem słomy, wytrząsa on nasiona ze słomy, strąków lub kłosów i wytwarza dodatkowe drobne gruzełki. To z kolei sprzyja kiełkowaniu chwastów. Brona do słomy może być opcjonalnie zamówiona w wersji HD z końcówkami z węglików spiekanych, znacznie wydłużającymi jej żywotność. Agresywność brony chwastownika można zmieniać hydraulicznie z kabiny podczas jazdy.</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lastRenderedPageBreak/>
        <w:t>Uniwersalne mocowanie przednie i tylne</w:t>
      </w:r>
    </w:p>
    <w:p w14:paraId="5A06A664" w14:textId="77777777" w:rsidR="00EC1F4D" w:rsidRPr="00EC1F4D" w:rsidRDefault="00EC1F4D" w:rsidP="00EC1F4D">
      <w:pPr>
        <w:spacing w:after="120" w:line="360" w:lineRule="auto"/>
        <w:ind w:left="567" w:right="1695"/>
        <w:rPr>
          <w:rFonts w:ascii="Arial" w:eastAsia="Arial" w:hAnsi="Arial" w:cs="Arial"/>
        </w:rPr>
      </w:pPr>
      <w:r>
        <w:rPr>
          <w:rFonts w:ascii="Arial" w:hAnsi="Arial"/>
        </w:rPr>
        <w:t>Maszyna podstawowa bez opcjonalnego zagarniacza może być obsługiwana za pomocą przedniego układu hydraulicznego lub tylnego układu hydraulicznego z kat. 3 i 3N. Opcjonalny wariant z zagarniaczem jest możliwy tylko w wersji montowanej z tyłu.</w:t>
      </w:r>
    </w:p>
    <w:p w14:paraId="4C2A2810" w14:textId="77777777" w:rsidR="00EC1F4D" w:rsidRPr="00EC1F4D" w:rsidRDefault="00EC1F4D" w:rsidP="00EC1F4D">
      <w:pPr>
        <w:spacing w:after="120" w:line="360" w:lineRule="auto"/>
        <w:ind w:left="567" w:right="1695"/>
        <w:rPr>
          <w:rFonts w:ascii="Arial" w:eastAsia="Arial" w:hAnsi="Arial" w:cs="Arial"/>
        </w:rPr>
      </w:pPr>
    </w:p>
    <w:p w14:paraId="084FD092" w14:textId="77777777" w:rsidR="00EC1F4D" w:rsidRPr="00EC1F4D" w:rsidRDefault="00EC1F4D" w:rsidP="00EC1F4D">
      <w:pPr>
        <w:spacing w:after="120" w:line="360" w:lineRule="auto"/>
        <w:ind w:left="567" w:right="1695"/>
        <w:rPr>
          <w:rFonts w:ascii="Arial" w:eastAsia="Arial" w:hAnsi="Arial" w:cs="Arial"/>
        </w:rPr>
      </w:pPr>
      <w:r>
        <w:rPr>
          <w:rFonts w:ascii="Arial" w:hAnsi="Arial"/>
        </w:rPr>
        <w:t xml:space="preserve">Mocowanie przednie sprawdziło się przy rozdrabnianiu poplonów, ponieważ nie są one wcześniej dociskane przez opony ciągnika. Ponadto mocowanie przednie w połączeniu z broną talerzową nadaje się do rozdrabniania i mieszania poplonów lub ścierniska kukurydzy w jednym przejeździe.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77777777" w:rsidR="00EC1F4D" w:rsidRPr="00EC1F4D" w:rsidRDefault="00EC1F4D" w:rsidP="00EC1F4D">
      <w:pPr>
        <w:spacing w:after="120" w:line="360" w:lineRule="auto"/>
        <w:ind w:left="567" w:right="1695"/>
        <w:rPr>
          <w:rFonts w:ascii="Arial" w:eastAsia="Arial" w:hAnsi="Arial" w:cs="Arial"/>
        </w:rPr>
      </w:pPr>
      <w:r>
        <w:rPr>
          <w:rFonts w:ascii="Arial" w:hAnsi="Arial"/>
        </w:rPr>
        <w:t>Co więcej, mocowanie przednie można optymalnie połączyć z siewnikiem do siewu bezpośredniego. Przy tej kombinacji w jednym procesie roboczym jest rozdrabniany poplon i bezpośrednio wysiewana następna uprawa. Ta zasada Cut'n'Sow umożliwia wydajny, niezawodny i ekonomiczny siew w jednym przejeździe.</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77777777" w:rsidR="00EC1F4D" w:rsidRPr="00EC1F4D" w:rsidRDefault="00EC1F4D" w:rsidP="00EC1F4D">
      <w:pPr>
        <w:spacing w:after="120" w:line="360" w:lineRule="auto"/>
        <w:ind w:left="567" w:right="1695"/>
        <w:rPr>
          <w:rFonts w:ascii="Arial" w:eastAsia="Arial" w:hAnsi="Arial" w:cs="Arial"/>
          <w:b/>
          <w:bCs/>
        </w:rPr>
      </w:pPr>
      <w:r>
        <w:rPr>
          <w:rFonts w:ascii="Arial" w:hAnsi="Arial"/>
          <w:b/>
        </w:rPr>
        <w:t>Możliwość uniwersalnego stosowania przez cały rok</w:t>
      </w:r>
    </w:p>
    <w:p w14:paraId="67E18879" w14:textId="77777777" w:rsidR="00EC1F4D" w:rsidRPr="00EC1F4D" w:rsidRDefault="00EC1F4D" w:rsidP="00EC1F4D">
      <w:pPr>
        <w:spacing w:after="120" w:line="360" w:lineRule="auto"/>
        <w:ind w:left="567" w:right="1695"/>
        <w:rPr>
          <w:rFonts w:ascii="Arial" w:eastAsia="Arial" w:hAnsi="Arial" w:cs="Arial"/>
        </w:rPr>
      </w:pPr>
      <w:r>
        <w:rPr>
          <w:rFonts w:ascii="Arial" w:hAnsi="Arial"/>
        </w:rPr>
        <w:t>Kombinacja wałów tnących TopCut może być zatem zintegrowana z konwencjonalnymi systemami siewu w mulcz, systemami siewu po pługu lub siewu bezpośredniego. Dzięki szerokości roboczej wynoszącej 5 lub 6 m i wysokiej prędkości roboczej do 20 km/h możliwe jest uzyskanie ogromnych dziennych wydajności powierzchniowych i to w ekonomiczny sposób przy bardzo niskim zużyciu paliwa. Oprócz wysokiej wydajności powierzchniowej, TopCut imponuje również pod względem odporności na zużycie. Dzięki odwracalnym nożom na wale nożowym można podwoić żywotność i zminimalizować koszty zużycia dla użytkownika.</w:t>
      </w:r>
    </w:p>
    <w:p w14:paraId="79C35239" w14:textId="36F2481A" w:rsidR="00593CFB" w:rsidRDefault="00593CFB">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Doskonały efekt cięcia na ścierniskach rzepakowych, słonecznikowych i kukurydzianych, a także na międzyplonach</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Optymalne rozdrabnianie w celu przyspieszenia procesu rozkładu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Minimalna uprawa z wysokim udziałem drobnych gruzełków, zapewniająca doskonałe warunki do kiełkowania, także na ściernisku zbożowym</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Lepsze rozprowadzanie słomy za pomocą zagarniacza</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Znacznie zmniejszone parowanie w porównaniu z innymi metodami</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 xml:space="preserve">Wykorzystanie w mocowaniu przednim i tylnym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Bardzo duża wydajność przy niskim zużyciu paliwa</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Pr>
          <w:rFonts w:ascii="Arial" w:hAnsi="Arial"/>
        </w:rPr>
        <w:t>Zmniejszone koszty zużycia dzięki odwracalnym nożom =&gt; podwójna żywotność</w:t>
      </w:r>
    </w:p>
    <w:p w14:paraId="58835EAE" w14:textId="77777777" w:rsidR="00F4316E" w:rsidRDefault="00F4316E" w:rsidP="00F4316E">
      <w:pPr>
        <w:spacing w:after="120" w:line="360" w:lineRule="auto"/>
        <w:ind w:left="567" w:right="1695"/>
        <w:rPr>
          <w:rFonts w:ascii="Arial" w:eastAsia="Arial" w:hAnsi="Arial" w:cs="Arial"/>
        </w:rPr>
      </w:pPr>
    </w:p>
    <w:p w14:paraId="202CABB7" w14:textId="77777777" w:rsidR="0028099A" w:rsidRDefault="0028099A" w:rsidP="00F4316E">
      <w:pPr>
        <w:spacing w:after="120" w:line="360" w:lineRule="auto"/>
        <w:ind w:left="567" w:right="1695"/>
        <w:rPr>
          <w:rFonts w:ascii="Arial" w:eastAsia="Arial" w:hAnsi="Arial" w:cs="Arial"/>
        </w:rPr>
      </w:pPr>
    </w:p>
    <w:p w14:paraId="56571C35" w14:textId="77777777" w:rsidR="0028099A" w:rsidRDefault="0028099A" w:rsidP="0028099A">
      <w:pPr>
        <w:spacing w:after="120" w:line="360" w:lineRule="auto"/>
        <w:ind w:left="567" w:right="1695"/>
        <w:rPr>
          <w:rFonts w:ascii="Arial" w:eastAsia="Arial" w:hAnsi="Arial" w:cs="Arial"/>
        </w:rPr>
      </w:pPr>
      <w:r>
        <w:rPr>
          <w:rFonts w:ascii="Arial" w:hAnsi="Arial"/>
          <w:noProof/>
        </w:rPr>
        <w:drawing>
          <wp:inline distT="0" distB="0" distL="0" distR="0" wp14:anchorId="04EB2FBE" wp14:editId="2290BEDA">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E1F119" w14:textId="748F7E8D" w:rsidR="0028099A" w:rsidRDefault="0028099A" w:rsidP="0028099A">
      <w:pPr>
        <w:spacing w:after="120" w:line="360" w:lineRule="auto"/>
        <w:ind w:left="567" w:right="1695"/>
        <w:rPr>
          <w:rFonts w:ascii="Arial" w:hAnsi="Arial"/>
          <w:b/>
        </w:rPr>
      </w:pPr>
      <w:r>
        <w:rPr>
          <w:rFonts w:ascii="Arial" w:hAnsi="Arial"/>
        </w:rPr>
        <w:t xml:space="preserve">Film: </w:t>
      </w:r>
      <w:r>
        <w:rPr>
          <w:rFonts w:ascii="Arial" w:hAnsi="Arial"/>
        </w:rPr>
        <w:br/>
      </w:r>
      <w:hyperlink r:id="rId10" w:history="1">
        <w:r w:rsidRPr="00054D3D">
          <w:rPr>
            <w:rStyle w:val="Hyperlink"/>
            <w:rFonts w:ascii="Arial" w:hAnsi="Arial"/>
            <w:b/>
          </w:rPr>
          <w:t>www.amazone.net/yt-TopCut-5m-6m</w:t>
        </w:r>
      </w:hyperlink>
    </w:p>
    <w:p w14:paraId="23BAF509" w14:textId="77777777" w:rsidR="0028099A" w:rsidRDefault="0028099A" w:rsidP="00F4316E">
      <w:pPr>
        <w:spacing w:after="120" w:line="360" w:lineRule="auto"/>
        <w:ind w:left="567" w:right="1695"/>
        <w:rPr>
          <w:rFonts w:ascii="Arial" w:eastAsia="Arial" w:hAnsi="Arial" w:cs="Arial"/>
        </w:rPr>
      </w:pPr>
    </w:p>
    <w:p w14:paraId="19DD87DB" w14:textId="096F3347" w:rsidR="00593CFB" w:rsidRDefault="00593CFB">
      <w:pPr>
        <w:rPr>
          <w:rFonts w:ascii="Arial" w:eastAsia="Arial" w:hAnsi="Arial" w:cs="Arial"/>
        </w:rPr>
      </w:pPr>
      <w:r>
        <w:rPr>
          <w:rFonts w:ascii="Arial" w:eastAsia="Arial" w:hAnsi="Arial" w:cs="Arial"/>
        </w:rPr>
        <w:br w:type="page"/>
      </w:r>
    </w:p>
    <w:p w14:paraId="09B6BDD7" w14:textId="265369DD" w:rsidR="009C4B2A" w:rsidRDefault="009C4B2A"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910F975" wp14:editId="6898E09B">
            <wp:extent cx="3477600" cy="2880000"/>
            <wp:effectExtent l="0" t="0" r="2540" b="3175"/>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Pr>
          <w:rFonts w:ascii="Arial" w:hAnsi="Arial"/>
        </w:rPr>
        <w:t>Ultra płytka uprawa gleby z zawieszanym zestawem wałów tnących TopCut 6000-2 zapewnia optymalne rozdrabnianie.</w:t>
      </w:r>
    </w:p>
    <w:p w14:paraId="74EB60F4" w14:textId="77777777" w:rsidR="00AC7E7F" w:rsidRDefault="00AC7E7F" w:rsidP="00AC7E7F">
      <w:pPr>
        <w:spacing w:after="120" w:line="360" w:lineRule="auto"/>
        <w:ind w:left="567" w:right="1695"/>
        <w:rPr>
          <w:rFonts w:ascii="Arial" w:eastAsia="Arial" w:hAnsi="Arial" w:cs="Arial"/>
        </w:rPr>
      </w:pPr>
    </w:p>
    <w:p w14:paraId="5F1FB060" w14:textId="77777777" w:rsidR="00AC7E7F" w:rsidRDefault="00AC7E7F" w:rsidP="00AC7E7F">
      <w:pPr>
        <w:spacing w:after="120" w:line="360" w:lineRule="auto"/>
        <w:ind w:left="567" w:right="1695"/>
        <w:rPr>
          <w:rFonts w:ascii="Arial" w:eastAsia="Arial" w:hAnsi="Arial" w:cs="Arial"/>
        </w:rPr>
      </w:pPr>
    </w:p>
    <w:p w14:paraId="7990C30A"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1E8966F" wp14:editId="644CDF2C">
            <wp:extent cx="4064400" cy="2880000"/>
            <wp:effectExtent l="0" t="0" r="0" b="3175"/>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r>
        <w:rPr>
          <w:rFonts w:ascii="Arial" w:hAnsi="Arial"/>
        </w:rPr>
        <w:t>TopCut 6000-2 przy rozdrabnianiu poplonów</w:t>
      </w:r>
    </w:p>
    <w:p w14:paraId="5D9924A7" w14:textId="77777777" w:rsidR="00AC7E7F" w:rsidRDefault="00AC7E7F" w:rsidP="00AC7E7F">
      <w:pPr>
        <w:spacing w:after="120" w:line="360" w:lineRule="auto"/>
        <w:ind w:left="567" w:right="1695"/>
        <w:rPr>
          <w:rFonts w:ascii="Arial" w:eastAsia="Arial" w:hAnsi="Arial" w:cs="Arial"/>
        </w:rPr>
      </w:pPr>
    </w:p>
    <w:p w14:paraId="76E15D9E" w14:textId="77777777" w:rsidR="00AC7E7F" w:rsidRDefault="00AC7E7F" w:rsidP="00AC7E7F">
      <w:pPr>
        <w:spacing w:after="120" w:line="360" w:lineRule="auto"/>
        <w:ind w:left="567" w:right="1695"/>
        <w:rPr>
          <w:rFonts w:ascii="Arial" w:eastAsia="Arial" w:hAnsi="Arial" w:cs="Arial"/>
        </w:rPr>
      </w:pPr>
    </w:p>
    <w:p w14:paraId="0380B1FA" w14:textId="651C0243" w:rsidR="00AC7E7F" w:rsidRDefault="00AC7E7F" w:rsidP="00AC7E7F">
      <w:pPr>
        <w:spacing w:after="120" w:line="360" w:lineRule="auto"/>
        <w:ind w:left="567" w:right="1695"/>
        <w:rPr>
          <w:rFonts w:ascii="Arial" w:eastAsia="Arial" w:hAnsi="Arial" w:cs="Arial"/>
        </w:rPr>
      </w:pPr>
      <w:r>
        <w:rPr>
          <w:rFonts w:ascii="Arial" w:hAnsi="Arial"/>
          <w:noProof/>
        </w:rPr>
        <w:drawing>
          <wp:inline distT="0" distB="0" distL="0" distR="0" wp14:anchorId="7E8FA8D1" wp14:editId="03B8D194">
            <wp:extent cx="4064400" cy="2880000"/>
            <wp:effectExtent l="0" t="0" r="0" b="3175"/>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Pr>
          <w:rFonts w:ascii="Arial" w:hAnsi="Arial"/>
        </w:rPr>
        <w:t>Intensywne rozdrabnianie łodyg słonecznika przez podwójny wał nożowy</w:t>
      </w:r>
    </w:p>
    <w:p w14:paraId="5ECDBF4A" w14:textId="77777777" w:rsidR="00AC7E7F" w:rsidRDefault="00AC7E7F" w:rsidP="00AC7E7F">
      <w:pPr>
        <w:spacing w:after="120" w:line="360" w:lineRule="auto"/>
        <w:ind w:left="567" w:right="1695"/>
        <w:rPr>
          <w:rFonts w:ascii="Arial" w:eastAsia="Arial" w:hAnsi="Arial" w:cs="Arial"/>
        </w:rPr>
      </w:pPr>
    </w:p>
    <w:p w14:paraId="4BF9D50D" w14:textId="77777777" w:rsidR="00AC7E7F" w:rsidRDefault="00AC7E7F" w:rsidP="00AC7E7F">
      <w:pPr>
        <w:spacing w:after="120" w:line="360" w:lineRule="auto"/>
        <w:ind w:left="567" w:right="1695"/>
        <w:rPr>
          <w:rFonts w:ascii="Arial" w:eastAsia="Arial" w:hAnsi="Arial" w:cs="Arial"/>
        </w:rPr>
      </w:pPr>
    </w:p>
    <w:p w14:paraId="62647AC9" w14:textId="77777777" w:rsidR="00AC7E7F" w:rsidRDefault="00AC7E7F" w:rsidP="00F4316E">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4C8338" wp14:editId="0B910594">
            <wp:extent cx="4064400" cy="2880000"/>
            <wp:effectExtent l="0" t="0" r="0" b="3175"/>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E316D3D" w14:textId="77777777" w:rsidR="00AC7E7F" w:rsidRPr="00AC7E7F" w:rsidRDefault="00AC7E7F" w:rsidP="00AC7E7F">
      <w:pPr>
        <w:spacing w:after="120" w:line="360" w:lineRule="auto"/>
        <w:ind w:left="567" w:right="1695"/>
        <w:rPr>
          <w:rFonts w:ascii="Arial" w:eastAsia="Arial" w:hAnsi="Arial" w:cs="Arial"/>
        </w:rPr>
      </w:pPr>
      <w:r>
        <w:rPr>
          <w:rFonts w:ascii="Arial" w:hAnsi="Arial"/>
        </w:rPr>
        <w:t>Wynik pracy przed uprawą (prawa ręka) i po uprawie (lewa ręka) poplonu za pomocą TopCut</w:t>
      </w:r>
    </w:p>
    <w:p w14:paraId="6E616B63" w14:textId="77777777" w:rsidR="00AC7E7F" w:rsidRDefault="00AC7E7F" w:rsidP="00F4316E">
      <w:pPr>
        <w:spacing w:after="120" w:line="360" w:lineRule="auto"/>
        <w:ind w:left="567" w:right="1695"/>
        <w:rPr>
          <w:rFonts w:ascii="Arial" w:eastAsia="Arial" w:hAnsi="Arial" w:cs="Arial"/>
        </w:rPr>
      </w:pPr>
    </w:p>
    <w:p w14:paraId="63B1EFFF" w14:textId="0854FC83" w:rsidR="00AC7E7F" w:rsidRDefault="00AC7E7F" w:rsidP="00F4316E">
      <w:pPr>
        <w:spacing w:after="120" w:line="360" w:lineRule="auto"/>
        <w:ind w:left="567" w:right="1695"/>
        <w:rPr>
          <w:rFonts w:ascii="Arial" w:eastAsia="Arial" w:hAnsi="Arial" w:cs="Arial"/>
        </w:rPr>
      </w:pPr>
      <w:r>
        <w:rPr>
          <w:rFonts w:ascii="Arial" w:hAnsi="Arial"/>
          <w:noProof/>
        </w:rPr>
        <w:drawing>
          <wp:inline distT="0" distB="0" distL="0" distR="0" wp14:anchorId="3F67D3E1" wp14:editId="6BC1F997">
            <wp:extent cx="4064400" cy="2880000"/>
            <wp:effectExtent l="0" t="0" r="0" b="3175"/>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7E723FA" w14:textId="752EB15A" w:rsidR="00AC7E7F" w:rsidRPr="00AC7E7F" w:rsidRDefault="00AC7E7F" w:rsidP="00AC7E7F">
      <w:pPr>
        <w:spacing w:after="120" w:line="360" w:lineRule="auto"/>
        <w:ind w:left="567" w:right="1695"/>
        <w:rPr>
          <w:rFonts w:ascii="Arial" w:eastAsia="Arial" w:hAnsi="Arial" w:cs="Arial"/>
        </w:rPr>
      </w:pPr>
      <w:r>
        <w:rPr>
          <w:rFonts w:ascii="Arial" w:hAnsi="Arial"/>
        </w:rPr>
        <w:t>Trzyrzędowy zagarniacz umożliwia między innymi lepsze rozprowadzanie słomy po kombajnie</w:t>
      </w:r>
    </w:p>
    <w:p w14:paraId="73FB2C0B" w14:textId="77777777" w:rsidR="00AC7E7F" w:rsidRDefault="00AC7E7F" w:rsidP="00F4316E">
      <w:pPr>
        <w:spacing w:after="120" w:line="360" w:lineRule="auto"/>
        <w:ind w:left="567" w:right="1695"/>
        <w:rPr>
          <w:rFonts w:ascii="Arial" w:eastAsia="Arial" w:hAnsi="Arial" w:cs="Arial"/>
        </w:rPr>
      </w:pPr>
    </w:p>
    <w:p w14:paraId="6DCDE684" w14:textId="77777777" w:rsidR="00AC7E7F" w:rsidRDefault="00AC7E7F" w:rsidP="00F4316E">
      <w:pPr>
        <w:spacing w:after="120" w:line="360" w:lineRule="auto"/>
        <w:ind w:left="567" w:right="1695"/>
        <w:rPr>
          <w:rFonts w:ascii="Arial" w:eastAsia="Arial" w:hAnsi="Arial" w:cs="Arial"/>
        </w:rPr>
      </w:pPr>
    </w:p>
    <w:p w14:paraId="0A7EDF5C" w14:textId="6CC445FF" w:rsidR="00C46F76" w:rsidRDefault="00C46F76">
      <w:pPr>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707C1984" w14:textId="04821C64" w:rsidR="00DE34BD" w:rsidRPr="00DE34BD" w:rsidRDefault="00D34808" w:rsidP="00DE34BD">
      <w:pPr>
        <w:tabs>
          <w:tab w:val="left" w:pos="3550"/>
        </w:tabs>
        <w:spacing w:line="360" w:lineRule="auto"/>
        <w:ind w:left="567" w:right="1128"/>
      </w:pPr>
      <w:r>
        <w:rPr>
          <w:rFonts w:ascii="Arial" w:hAnsi="Arial"/>
          <w:color w:val="808080" w:themeColor="background1" w:themeShade="80"/>
          <w:sz w:val="20"/>
        </w:rPr>
        <w:t>Więcej informacji: </w:t>
      </w:r>
      <w:hyperlink r:id="rId16" w:history="1">
        <w:r w:rsidR="00DE34BD" w:rsidRPr="00352A6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1FDA1" w14:textId="77777777" w:rsidR="00293430" w:rsidRDefault="00293430">
      <w:r>
        <w:separator/>
      </w:r>
    </w:p>
  </w:endnote>
  <w:endnote w:type="continuationSeparator" w:id="0">
    <w:p w14:paraId="246F7898" w14:textId="77777777" w:rsidR="00293430" w:rsidRDefault="002934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81288" w14:textId="77777777" w:rsidR="00293430" w:rsidRDefault="00293430">
      <w:r>
        <w:separator/>
      </w:r>
    </w:p>
  </w:footnote>
  <w:footnote w:type="continuationSeparator" w:id="0">
    <w:p w14:paraId="0057F3B1" w14:textId="77777777" w:rsidR="00293430" w:rsidRDefault="002934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99A"/>
    <w:rsid w:val="00280DCF"/>
    <w:rsid w:val="00281B1F"/>
    <w:rsid w:val="002828C5"/>
    <w:rsid w:val="002829C0"/>
    <w:rsid w:val="0028387B"/>
    <w:rsid w:val="00286CAE"/>
    <w:rsid w:val="00286F63"/>
    <w:rsid w:val="002902E3"/>
    <w:rsid w:val="002906A8"/>
    <w:rsid w:val="00293430"/>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E48"/>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3CFB"/>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F76"/>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79E0"/>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4BD"/>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9A54C6B4-44BB-4288-965F-418856A8B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pl"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906</Words>
  <Characters>6169</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2</cp:revision>
  <cp:lastPrinted>2010-02-24T09:10:00Z</cp:lastPrinted>
  <dcterms:created xsi:type="dcterms:W3CDTF">2025-08-18T09:56:00Z</dcterms:created>
  <dcterms:modified xsi:type="dcterms:W3CDTF">2025-09-11T11:34:00Z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