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098F2833"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Barometrul de imagine DLG 2025/2026: AMAZONE urcă pe locul 2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Un nou record printre mărcile lider în sectorul mașinilor agricole</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AMAZONE a obținut un rezultat excelent în ultimul barometru</w:t>
      </w:r>
      <w:r>
        <w:rPr>
          <w:rFonts w:ascii="Arial" w:hAnsi="Arial"/>
        </w:rPr>
        <w:noBreakHyphen/>
        <w:t xml:space="preserve">DLGImage 2025/2026, urcând pentru prima dată pe locul al doilea. Creșterea subliniază nivelul ridicat de acceptare al mărcii și poziția sa din ce în ce mai puternică în cercurile agricole.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De mulți ani, AMAZONE este recunoscut în acest prestigios sondaj ca unul dintre cei mai de succes producători în domeniul mașinilor agricole. Fiind o companie de familie, acordăm o mare importanță dezvoltării pe termen lung și analizării cerințelor în materie de mașini agricole, pe care le dezvoltăm în colaborare cu fermieri și contractori de toate mărimile. În acest sens, ne străduim să oferim întotdeauna soluții moderne și orientate spre viitor, care pot fi utilizate în mod rentabil și fiabil în ferme de diferite dimensiuni. O abordare consecventă a inovării în conceptele noastre de mașini și soluții digitale este o componentă-cheie a filosofiei noastre corporative și este susținută de cercetarea practică și testarea sistematică a noilor metode.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Întreaga echipă AMAZONE este încântată de acest succes remarcabil. Mulțumiri speciale le adresăm și tuturor clienților și partenerilor noștri pentru încrederea și siguranța pe care le-au acordat companiei noastre. Această creștere semnificativă a puterii brandului nostru reprezintă un stimulent pentru toți angajații să dezvolte în mod continuu mașinile noastre agricole în ceea ce privește precizia, eficiența și durabilitatea. Feedback-ul din experiența practică rămâne o sursă crucială de inspirație în acest sens.</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AMAZONE invită cordial toate întreprinderile agricole la cea de-a 10-a ediție a zilei câmpului AMATECHNICA, care va avea loc la sediul nostru din Hasbergen-Gaste, pe 21 mai 2026. Toate inovațiile Agritechnica vor fi prezentate live pe câmp în timpul evenimentului, ceea ce face ca acesta să fie momentul ideal pentru a vedea direct cele mai recente dezvoltări și departamentul de testare în curs de desfășurare.</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546600C8" w:rsidR="00901C82" w:rsidRDefault="00901C82">
      <w:pPr>
        <w:spacing w:after="120" w:line="360" w:lineRule="auto"/>
        <w:ind w:left="284" w:right="135"/>
        <w:rPr>
          <w:rFonts w:ascii="Arial" w:hAnsi="Arial" w:cs="Arial"/>
          <w:bCs/>
          <w:i/>
          <w:iCs/>
          <w:color w:val="808080" w:themeColor="background1" w:themeShade="80"/>
          <w:sz w:val="20"/>
          <w:szCs w:val="20"/>
        </w:rPr>
      </w:pPr>
    </w:p>
    <w:p w14:paraId="3BE32304" w14:textId="7E5A9690" w:rsidR="00901C82" w:rsidRDefault="00A97F02" w:rsidP="00901C82">
      <w:pPr>
        <w:spacing w:after="120" w:line="360" w:lineRule="auto"/>
        <w:ind w:left="284" w:right="135"/>
        <w:rPr>
          <w:rFonts w:ascii="Arial" w:hAnsi="Arial" w:cs="Arial"/>
          <w:b/>
          <w:bCs/>
          <w:i/>
          <w:iCs/>
        </w:rPr>
      </w:pPr>
      <w:r>
        <w:rPr>
          <w:rFonts w:ascii="Arial" w:hAnsi="Arial"/>
          <w:b/>
          <w:noProof/>
          <w:sz w:val="32"/>
        </w:rPr>
        <w:lastRenderedPageBreak/>
        <w:drawing>
          <wp:inline distT="0" distB="0" distL="0" distR="0" wp14:anchorId="744F1BF4" wp14:editId="2DEA9FDE">
            <wp:extent cx="4572000" cy="6099263"/>
            <wp:effectExtent l="0" t="0" r="0" b="0"/>
            <wp:docPr id="1633630200"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630200" name="Grafik 1" descr="Ein Bild, das Text, Screenshot, Schrift, Zahl enthält.&#10;&#10;KI-generierte Inhalte können fehlerhaft s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99263"/>
                    </a:xfrm>
                    <a:prstGeom prst="rect">
                      <a:avLst/>
                    </a:prstGeom>
                    <a:noFill/>
                    <a:ln>
                      <a:noFill/>
                    </a:ln>
                  </pic:spPr>
                </pic:pic>
              </a:graphicData>
            </a:graphic>
          </wp:inline>
        </w:drawing>
      </w:r>
    </w:p>
    <w:p w14:paraId="6606F4F3" w14:textId="57964BB4" w:rsidR="00901C82" w:rsidRPr="00C83E55" w:rsidRDefault="00901C82" w:rsidP="00901C82">
      <w:pPr>
        <w:spacing w:after="120" w:line="360" w:lineRule="auto"/>
        <w:ind w:left="284" w:right="135"/>
        <w:rPr>
          <w:rFonts w:ascii="Arial" w:hAnsi="Arial" w:cs="Arial"/>
          <w:b/>
          <w:bCs/>
          <w:i/>
          <w:iCs/>
        </w:rPr>
      </w:pPr>
      <w:r>
        <w:rPr>
          <w:rFonts w:ascii="Arial" w:hAnsi="Arial"/>
          <w:b/>
          <w:i/>
        </w:rPr>
        <w:t>Despre barometrul de imagine DLG</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Prin intermediul Barometrului anual al imaginii, Societatea Germană de Agricultură (DLG) află cum evaluează fermierii de top puterea mărcii diferitelor companii din sectorul agricol și evaluează factori precum gradul de cunoaștere, utilitatea, preferința și imaginea. Potrivit DLG, un total de 674 de persoane au participat la sondaj în acest an.</w:t>
      </w:r>
    </w:p>
    <w:p w14:paraId="19ED8CDF" w14:textId="77777777" w:rsidR="003C07F8" w:rsidRDefault="003C07F8" w:rsidP="00901C82">
      <w:pPr>
        <w:spacing w:after="120" w:line="360" w:lineRule="auto"/>
        <w:ind w:left="284" w:right="135"/>
        <w:rPr>
          <w:rFonts w:ascii="Arial" w:hAnsi="Arial" w:cs="Arial"/>
          <w:bCs/>
          <w:i/>
          <w:iCs/>
        </w:rPr>
      </w:pPr>
    </w:p>
    <w:p w14:paraId="119BC43B" w14:textId="07FFF5C1" w:rsidR="00A97F02" w:rsidRDefault="00A97F02">
      <w:pPr>
        <w:rPr>
          <w:rFonts w:ascii="Arial" w:hAnsi="Arial" w:cs="Arial"/>
          <w:bCs/>
          <w:i/>
          <w:iCs/>
        </w:rPr>
      </w:pPr>
      <w:r>
        <w:rPr>
          <w:rFonts w:ascii="Arial" w:hAnsi="Arial" w:cs="Arial"/>
          <w:bCs/>
          <w:i/>
          <w:iCs/>
        </w:rPr>
        <w:br w:type="page"/>
      </w:r>
    </w:p>
    <w:p w14:paraId="0183B02E"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5B5F2040" w14:textId="233035EF"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la nivel internațional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7" w:history="1">
        <w:r w:rsidR="00A97F02" w:rsidRPr="00A05B33">
          <w:rPr>
            <w:rStyle w:val="Hyperlink"/>
            <w:rFonts w:ascii="Arial" w:hAnsi="Arial"/>
            <w:sz w:val="20"/>
          </w:rPr>
          <w:t>www.amazone.ro</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Informații martie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Informații martie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97F02"/>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A97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ro" TargetMode="External"/><Relationship Id="rId12" Type="http://schemas.openxmlformats.org/officeDocument/2006/relationships/image" Target="media/image3.jpeg"/><Relationship Id="rId17" Type="http://schemas.openxmlformats.org/officeDocument/2006/relationships/hyperlink" Target="https://www.linkedin.com/company/amazone-group/"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grou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3190</Characters>
  <Application>Microsoft Office Word</Application>
  <DocSecurity>0</DocSecurity>
  <Lines>58</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Raport anual 2008</dc:title>
  <dc:creator/>
  <cp:lastModifiedBy>Berelsmann Nadine</cp:lastModifiedBy>
  <cp:revision>19</cp:revision>
  <cp:lastPrinted>2025-03-19T13:03:00Z</cp:lastPrinted>
  <dcterms:created xsi:type="dcterms:W3CDTF">2020-10-26T12:46:00Z</dcterms:created>
  <dcterms:modified xsi:type="dcterms:W3CDTF">2026-03-10T16:39:00Z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