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7C1DBDC" w14:textId="03540CAA" w:rsidR="00D17A72" w:rsidRPr="00D17A72" w:rsidRDefault="00D17A72" w:rsidP="00D17A72">
      <w:pPr>
        <w:spacing w:after="120" w:line="360" w:lineRule="auto"/>
        <w:ind w:left="567" w:right="1695"/>
        <w:rPr>
          <w:rFonts w:ascii="Arial" w:hAnsi="Arial" w:cs="Arial"/>
          <w:b/>
          <w:bCs/>
          <w:sz w:val="28"/>
          <w:szCs w:val="28"/>
        </w:rPr>
      </w:pPr>
      <w:r w:rsidRPr="00D17A72">
        <w:rPr>
          <w:rFonts w:ascii="Arial" w:hAnsi="Arial" w:cs="Arial"/>
          <w:b/>
          <w:bCs/>
          <w:sz w:val="28"/>
          <w:szCs w:val="28"/>
        </w:rPr>
        <w:t>Hydraulische Verschiebefahrgasse</w:t>
      </w:r>
      <w:r w:rsidR="00BF0FD3">
        <w:rPr>
          <w:rFonts w:ascii="Arial" w:hAnsi="Arial" w:cs="Arial"/>
          <w:b/>
          <w:bCs/>
          <w:sz w:val="28"/>
          <w:szCs w:val="28"/>
        </w:rPr>
        <w:br/>
      </w:r>
      <w:bookmarkStart w:id="0" w:name="_GoBack"/>
      <w:bookmarkEnd w:id="0"/>
      <w:r w:rsidRPr="00D17A72">
        <w:rPr>
          <w:rFonts w:ascii="Arial" w:hAnsi="Arial" w:cs="Arial"/>
          <w:b/>
          <w:bCs/>
          <w:sz w:val="28"/>
          <w:szCs w:val="28"/>
        </w:rPr>
        <w:t xml:space="preserve">für Einzelkorn-Sämaschine </w:t>
      </w:r>
      <w:proofErr w:type="spellStart"/>
      <w:r w:rsidRPr="00D17A72">
        <w:rPr>
          <w:rFonts w:ascii="Arial" w:hAnsi="Arial" w:cs="Arial"/>
          <w:b/>
          <w:bCs/>
          <w:sz w:val="28"/>
          <w:szCs w:val="28"/>
        </w:rPr>
        <w:t>Precea</w:t>
      </w:r>
      <w:proofErr w:type="spellEnd"/>
    </w:p>
    <w:p w14:paraId="40A7CF5C" w14:textId="77777777" w:rsidR="00D17A72" w:rsidRPr="00D17A72" w:rsidRDefault="00D17A72" w:rsidP="00D17A72">
      <w:pPr>
        <w:spacing w:line="360" w:lineRule="auto"/>
        <w:ind w:left="567" w:right="1695"/>
        <w:rPr>
          <w:rFonts w:ascii="Arial" w:hAnsi="Arial" w:cs="Arial"/>
          <w:b/>
          <w:bCs/>
        </w:rPr>
      </w:pPr>
      <w:r w:rsidRPr="00D17A72">
        <w:rPr>
          <w:rFonts w:ascii="Arial" w:hAnsi="Arial" w:cs="Arial"/>
          <w:b/>
          <w:bCs/>
        </w:rPr>
        <w:t>Einhaltung der Saatmenge auch bei Fahrgassen</w:t>
      </w:r>
    </w:p>
    <w:p w14:paraId="14EE0033" w14:textId="77777777" w:rsidR="001B22B7" w:rsidRDefault="001B22B7" w:rsidP="00330541">
      <w:pPr>
        <w:spacing w:line="360" w:lineRule="auto"/>
        <w:ind w:left="567" w:right="1695"/>
        <w:rPr>
          <w:rFonts w:ascii="Arial" w:hAnsi="Arial" w:cs="Arial"/>
        </w:rPr>
      </w:pPr>
    </w:p>
    <w:p w14:paraId="49BD3DA0" w14:textId="77777777" w:rsidR="00D17A72" w:rsidRDefault="00D17A72" w:rsidP="00D17A72">
      <w:pPr>
        <w:spacing w:after="120" w:line="360" w:lineRule="auto"/>
        <w:ind w:left="567" w:right="1695"/>
        <w:rPr>
          <w:rFonts w:ascii="Arial" w:eastAsia="Arial" w:hAnsi="Arial" w:cs="Arial"/>
          <w:b/>
          <w:bCs/>
        </w:rPr>
      </w:pPr>
      <w:r w:rsidRPr="00D17A72">
        <w:rPr>
          <w:rFonts w:ascii="Arial" w:eastAsia="Arial" w:hAnsi="Arial" w:cs="Arial"/>
          <w:b/>
          <w:bCs/>
        </w:rPr>
        <w:t>Hydraulische Verschiebefahrgasse</w:t>
      </w:r>
    </w:p>
    <w:p w14:paraId="3BCA3671" w14:textId="0D492280"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 xml:space="preserve">Das System der hydraulischen Verschiebefahrgasse dient dazu Pflegefahrgassen anzulegen, ohne dabei die Vereinzelungsaggregate abzuschalten und damit die Saatmenge zu reduzieren. Die Vereinzelungsaggregate werden für die Fahrgasse nicht abgeschaltet, sondern verschoben. Neben der Verschiebung der Aggregate wird bei der AMAZONE </w:t>
      </w:r>
      <w:proofErr w:type="spellStart"/>
      <w:r w:rsidRPr="00D17A72">
        <w:rPr>
          <w:rFonts w:ascii="Arial" w:eastAsia="Arial" w:hAnsi="Arial" w:cs="Arial"/>
        </w:rPr>
        <w:t>Precea</w:t>
      </w:r>
      <w:proofErr w:type="spellEnd"/>
      <w:r w:rsidRPr="00D17A72">
        <w:rPr>
          <w:rFonts w:ascii="Arial" w:eastAsia="Arial" w:hAnsi="Arial" w:cs="Arial"/>
        </w:rPr>
        <w:t xml:space="preserve"> auch das Düngerschar mit verschoben. Der maximale Verschiebeweg der Aggregate beträgt 400 mm. Dieser Weg kann aber auch begrenzt werden, sollte die große Distanz nicht benötigt werden.</w:t>
      </w:r>
    </w:p>
    <w:p w14:paraId="57975D13" w14:textId="77777777"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Die hydraulische Verschiebefahrgasse kann sowohl symmetrisch als auch asymmetrisch eingesetzt werden. Bei der symmetrischen Verschiebung werden gleichzeitig die Zylinder für die Verschiebung auf der rechten wie auch auf der linken Maschinenseite geschaltet. Bei der asymmetrischen Verschiebung wird nur ein Zylinder geschaltet, und somit nur ein Aggregat verschoben. So erzielt der Fahrer beispielsweise bei der ersten Überfahrt eine Reifengasse für das Pflegegerät und bei der Anschlussfahrt die zweite Gasse für das Pflegegerät. Zur Entlastung des Fahrers ist das System in die ISOBUS-Maschinen-Software integriert und reagiert automatisch, sobald es zur Anlage der Fahrgasse kommt.</w:t>
      </w:r>
    </w:p>
    <w:p w14:paraId="64DA7B71" w14:textId="429D0003" w:rsidR="00BF0FD3" w:rsidRDefault="00D17A72" w:rsidP="00D17A72">
      <w:pPr>
        <w:spacing w:after="120" w:line="360" w:lineRule="auto"/>
        <w:ind w:left="567" w:right="1695"/>
        <w:rPr>
          <w:rFonts w:ascii="Arial" w:eastAsia="Arial" w:hAnsi="Arial" w:cs="Arial"/>
        </w:rPr>
      </w:pPr>
      <w:r w:rsidRPr="00D17A72">
        <w:rPr>
          <w:rFonts w:ascii="Arial" w:eastAsia="Arial" w:hAnsi="Arial" w:cs="Arial"/>
        </w:rPr>
        <w:t xml:space="preserve">Das System der hydraulischen Verschiebefahrgasse ist sehr flexibel und bietet somit viele Kombinationsmöglichkeiten von Spurweite, Reifenbreite und Pflegearbeitsbreite in Abhängigkeit zur Arbeitsbreite der Einzelkorn-Sämaschine. Die hydraulische Verschiebefahrgasse ist an allen </w:t>
      </w:r>
      <w:proofErr w:type="spellStart"/>
      <w:r w:rsidRPr="00D17A72">
        <w:rPr>
          <w:rFonts w:ascii="Arial" w:eastAsia="Arial" w:hAnsi="Arial" w:cs="Arial"/>
        </w:rPr>
        <w:t>Precea</w:t>
      </w:r>
      <w:proofErr w:type="spellEnd"/>
      <w:r w:rsidRPr="00D17A72">
        <w:rPr>
          <w:rFonts w:ascii="Arial" w:eastAsia="Arial" w:hAnsi="Arial" w:cs="Arial"/>
        </w:rPr>
        <w:t xml:space="preserve">-Produkttypen, mit Ausnahme der </w:t>
      </w:r>
      <w:proofErr w:type="spellStart"/>
      <w:r w:rsidRPr="00D17A72">
        <w:rPr>
          <w:rFonts w:ascii="Arial" w:eastAsia="Arial" w:hAnsi="Arial" w:cs="Arial"/>
        </w:rPr>
        <w:t>teleskopierbaren</w:t>
      </w:r>
      <w:proofErr w:type="spellEnd"/>
      <w:r w:rsidRPr="00D17A72">
        <w:rPr>
          <w:rFonts w:ascii="Arial" w:eastAsia="Arial" w:hAnsi="Arial" w:cs="Arial"/>
        </w:rPr>
        <w:t xml:space="preserve"> Maschinen, einsetzbar.</w:t>
      </w:r>
    </w:p>
    <w:p w14:paraId="1C16498F" w14:textId="77777777" w:rsidR="00BF0FD3" w:rsidRDefault="00BF0FD3">
      <w:pPr>
        <w:rPr>
          <w:rFonts w:ascii="Arial" w:eastAsia="Arial" w:hAnsi="Arial" w:cs="Arial"/>
        </w:rPr>
      </w:pPr>
      <w:r>
        <w:rPr>
          <w:rFonts w:ascii="Arial" w:eastAsia="Arial" w:hAnsi="Arial" w:cs="Arial"/>
        </w:rPr>
        <w:br w:type="page"/>
      </w:r>
    </w:p>
    <w:p w14:paraId="2CBE7A37" w14:textId="77777777"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b/>
          <w:bCs/>
        </w:rPr>
        <w:lastRenderedPageBreak/>
        <w:t>Vorteile auf einen Blick:</w:t>
      </w:r>
    </w:p>
    <w:p w14:paraId="2263537E" w14:textId="0D579C06" w:rsidR="00D17A72" w:rsidRPr="00D17A72" w:rsidRDefault="00D17A72" w:rsidP="00D17A72">
      <w:pPr>
        <w:pStyle w:val="Listenabsatz"/>
        <w:numPr>
          <w:ilvl w:val="0"/>
          <w:numId w:val="6"/>
        </w:numPr>
        <w:spacing w:after="120" w:line="360" w:lineRule="auto"/>
        <w:ind w:right="1695"/>
        <w:rPr>
          <w:rFonts w:ascii="Arial" w:eastAsia="Arial" w:hAnsi="Arial" w:cs="Arial"/>
        </w:rPr>
      </w:pPr>
      <w:r w:rsidRPr="00D17A72">
        <w:rPr>
          <w:rFonts w:ascii="Arial" w:eastAsia="Arial" w:hAnsi="Arial" w:cs="Arial"/>
        </w:rPr>
        <w:t>Optimales Ertragspotential, da Saatreihen nicht abgeschaltet werden, sondern verschoben werden</w:t>
      </w:r>
    </w:p>
    <w:p w14:paraId="5786D580" w14:textId="75093DC9" w:rsidR="00D17A72" w:rsidRPr="00D17A72" w:rsidRDefault="00D17A72" w:rsidP="00D17A72">
      <w:pPr>
        <w:pStyle w:val="Listenabsatz"/>
        <w:numPr>
          <w:ilvl w:val="0"/>
          <w:numId w:val="6"/>
        </w:numPr>
        <w:spacing w:after="120" w:line="360" w:lineRule="auto"/>
        <w:ind w:right="1695"/>
        <w:rPr>
          <w:rFonts w:ascii="Arial" w:eastAsia="Arial" w:hAnsi="Arial" w:cs="Arial"/>
        </w:rPr>
      </w:pPr>
      <w:r w:rsidRPr="00D17A72">
        <w:rPr>
          <w:rFonts w:ascii="Arial" w:eastAsia="Arial" w:hAnsi="Arial" w:cs="Arial"/>
        </w:rPr>
        <w:t>Entlastung des Fahrers durch automatische Erkennung und Anpassung an die Fahrgasse</w:t>
      </w:r>
    </w:p>
    <w:p w14:paraId="6AB96956" w14:textId="7E943D47" w:rsidR="00D17A72" w:rsidRPr="00D17A72" w:rsidRDefault="00D17A72" w:rsidP="00D17A72">
      <w:pPr>
        <w:pStyle w:val="Listenabsatz"/>
        <w:numPr>
          <w:ilvl w:val="0"/>
          <w:numId w:val="6"/>
        </w:numPr>
        <w:spacing w:after="120" w:line="360" w:lineRule="auto"/>
        <w:ind w:right="1695"/>
        <w:rPr>
          <w:rFonts w:ascii="Arial" w:eastAsia="Arial" w:hAnsi="Arial" w:cs="Arial"/>
        </w:rPr>
      </w:pPr>
      <w:r w:rsidRPr="00D17A72">
        <w:rPr>
          <w:rFonts w:ascii="Arial" w:eastAsia="Arial" w:hAnsi="Arial" w:cs="Arial"/>
        </w:rPr>
        <w:t>Ausbleibende Pflanzenschäden bei späteren Arbeiten im Bestand infolge bereits vorhandener Fahrgasse</w:t>
      </w:r>
    </w:p>
    <w:p w14:paraId="4EDB8339" w14:textId="17FFD757" w:rsidR="00070765" w:rsidRPr="00D17A72" w:rsidRDefault="00D17A72" w:rsidP="00D17A72">
      <w:pPr>
        <w:pStyle w:val="Listenabsatz"/>
        <w:numPr>
          <w:ilvl w:val="0"/>
          <w:numId w:val="6"/>
        </w:numPr>
        <w:spacing w:after="120" w:line="360" w:lineRule="auto"/>
        <w:ind w:right="1695"/>
        <w:rPr>
          <w:rFonts w:ascii="Arial" w:eastAsia="Arial" w:hAnsi="Arial" w:cs="Arial"/>
        </w:rPr>
      </w:pPr>
      <w:r w:rsidRPr="00D17A72">
        <w:rPr>
          <w:rFonts w:ascii="Arial" w:eastAsia="Arial" w:hAnsi="Arial" w:cs="Arial"/>
        </w:rPr>
        <w:t>Optimale Düngeversorgung, da Düngeschar und das Vereinzelungsaggregat zusammen verschoben werden</w:t>
      </w:r>
    </w:p>
    <w:p w14:paraId="7147513A" w14:textId="58041AE6" w:rsidR="00D17A72" w:rsidRDefault="00D17A72" w:rsidP="00D17A72">
      <w:pPr>
        <w:spacing w:after="120" w:line="360" w:lineRule="auto"/>
        <w:ind w:left="567" w:right="1695"/>
        <w:rPr>
          <w:rFonts w:ascii="Arial" w:eastAsia="Arial" w:hAnsi="Arial" w:cs="Arial"/>
        </w:rPr>
      </w:pPr>
    </w:p>
    <w:p w14:paraId="3088DB13" w14:textId="77777777" w:rsidR="00D17A72" w:rsidRDefault="00D17A72" w:rsidP="00D17A72">
      <w:pPr>
        <w:spacing w:after="120" w:line="360" w:lineRule="auto"/>
        <w:ind w:left="567" w:right="1695"/>
        <w:rPr>
          <w:rFonts w:ascii="Arial" w:eastAsia="Arial" w:hAnsi="Arial" w:cs="Arial"/>
        </w:rPr>
      </w:pPr>
    </w:p>
    <w:p w14:paraId="546B8B91" w14:textId="23CFB6CF" w:rsidR="00070765"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72A4E967" wp14:editId="68797F2F">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1B1B911" w14:textId="77777777"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 xml:space="preserve">Hydraulische Verschiebefahrgasse bei der </w:t>
      </w:r>
      <w:proofErr w:type="spellStart"/>
      <w:r w:rsidRPr="00D17A72">
        <w:rPr>
          <w:rFonts w:ascii="Arial" w:eastAsia="Arial" w:hAnsi="Arial" w:cs="Arial"/>
        </w:rPr>
        <w:t>Precea</w:t>
      </w:r>
      <w:proofErr w:type="spellEnd"/>
      <w:r w:rsidRPr="00D17A72">
        <w:rPr>
          <w:rFonts w:ascii="Arial" w:eastAsia="Arial" w:hAnsi="Arial" w:cs="Arial"/>
        </w:rPr>
        <w:t xml:space="preserve"> 6000-2FCC – asymmetrische Anordnung</w:t>
      </w:r>
    </w:p>
    <w:p w14:paraId="14803D4B" w14:textId="38B1159A" w:rsidR="00070765" w:rsidRDefault="00070765" w:rsidP="00070765">
      <w:pPr>
        <w:spacing w:after="120" w:line="360" w:lineRule="auto"/>
        <w:ind w:left="567" w:right="1695"/>
        <w:rPr>
          <w:rFonts w:ascii="Arial" w:eastAsia="Arial" w:hAnsi="Arial" w:cs="Arial"/>
        </w:rPr>
      </w:pPr>
    </w:p>
    <w:p w14:paraId="7C96924D" w14:textId="7CB528AE" w:rsidR="00D17A72" w:rsidRDefault="00102558"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CE68E13" wp14:editId="33ADBA78">
            <wp:extent cx="2880000" cy="2880000"/>
            <wp:effectExtent l="0" t="0" r="3175"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261FB408" w14:textId="77777777"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Die asymmetrische Verschiebung erlaubt Spurweiten bis zu 2,1 m</w:t>
      </w:r>
    </w:p>
    <w:p w14:paraId="03597EA1" w14:textId="4038197D" w:rsidR="00D17A72" w:rsidRDefault="00D17A72" w:rsidP="00070765">
      <w:pPr>
        <w:spacing w:after="120" w:line="360" w:lineRule="auto"/>
        <w:ind w:left="567" w:right="1695"/>
        <w:rPr>
          <w:rFonts w:ascii="Arial" w:eastAsia="Arial" w:hAnsi="Arial" w:cs="Arial"/>
        </w:rPr>
      </w:pPr>
    </w:p>
    <w:p w14:paraId="43369C16" w14:textId="4A2EA72E" w:rsidR="00D17A72" w:rsidRDefault="00D17A72" w:rsidP="00070765">
      <w:pPr>
        <w:spacing w:after="120" w:line="360" w:lineRule="auto"/>
        <w:ind w:left="567" w:right="1695"/>
        <w:rPr>
          <w:rFonts w:ascii="Arial" w:eastAsia="Arial" w:hAnsi="Arial" w:cs="Arial"/>
        </w:rPr>
      </w:pPr>
    </w:p>
    <w:p w14:paraId="7AD07C81" w14:textId="4BFF26F1" w:rsidR="00D17A72" w:rsidRDefault="00102558"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85D713" wp14:editId="34C62668">
            <wp:extent cx="2880000" cy="2880000"/>
            <wp:effectExtent l="0" t="0" r="3175"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80000" cy="2880000"/>
                    </a:xfrm>
                    <a:prstGeom prst="rect">
                      <a:avLst/>
                    </a:prstGeom>
                  </pic:spPr>
                </pic:pic>
              </a:graphicData>
            </a:graphic>
          </wp:inline>
        </w:drawing>
      </w:r>
    </w:p>
    <w:p w14:paraId="01B60C36" w14:textId="77777777"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 xml:space="preserve">Symmetrische Verschiebefahrgasse bei der </w:t>
      </w:r>
      <w:proofErr w:type="spellStart"/>
      <w:r w:rsidRPr="00D17A72">
        <w:rPr>
          <w:rFonts w:ascii="Arial" w:eastAsia="Arial" w:hAnsi="Arial" w:cs="Arial"/>
        </w:rPr>
        <w:t>Precea</w:t>
      </w:r>
      <w:proofErr w:type="spellEnd"/>
      <w:r w:rsidRPr="00D17A72">
        <w:rPr>
          <w:rFonts w:ascii="Arial" w:eastAsia="Arial" w:hAnsi="Arial" w:cs="Arial"/>
        </w:rPr>
        <w:t xml:space="preserve"> 6000-2</w:t>
      </w:r>
    </w:p>
    <w:p w14:paraId="53354BCA" w14:textId="77777777" w:rsidR="00D17A72" w:rsidRDefault="00D17A72" w:rsidP="00070765">
      <w:pPr>
        <w:spacing w:after="120" w:line="360" w:lineRule="auto"/>
        <w:ind w:left="567" w:right="1695"/>
        <w:rPr>
          <w:rFonts w:ascii="Arial" w:eastAsia="Arial" w:hAnsi="Arial" w:cs="Arial"/>
        </w:rPr>
      </w:pPr>
    </w:p>
    <w:p w14:paraId="3B1305F6" w14:textId="77777777" w:rsidR="00353431" w:rsidRDefault="00353431" w:rsidP="00070765">
      <w:pPr>
        <w:spacing w:after="120" w:line="360" w:lineRule="auto"/>
        <w:ind w:left="567" w:right="1695"/>
        <w:rPr>
          <w:rFonts w:ascii="Arial" w:eastAsia="Arial" w:hAnsi="Arial" w:cs="Arial"/>
        </w:rPr>
      </w:pPr>
    </w:p>
    <w:p w14:paraId="4AFCAB51" w14:textId="258F4BAC" w:rsidR="00070765" w:rsidRDefault="00070765" w:rsidP="00070765">
      <w:pPr>
        <w:spacing w:after="120" w:line="360" w:lineRule="auto"/>
        <w:ind w:left="567" w:right="1695"/>
        <w:rPr>
          <w:rFonts w:ascii="Arial" w:eastAsia="Arial" w:hAnsi="Arial" w:cs="Arial"/>
        </w:rPr>
      </w:pPr>
    </w:p>
    <w:p w14:paraId="4066D081" w14:textId="738F96B3" w:rsidR="00102558" w:rsidRDefault="00102558" w:rsidP="00D17A72">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6953A4D" wp14:editId="2ABE5AA0">
            <wp:extent cx="4431600" cy="2880000"/>
            <wp:effectExtent l="0" t="0" r="127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431600" cy="2880000"/>
                    </a:xfrm>
                    <a:prstGeom prst="rect">
                      <a:avLst/>
                    </a:prstGeom>
                  </pic:spPr>
                </pic:pic>
              </a:graphicData>
            </a:graphic>
          </wp:inline>
        </w:drawing>
      </w:r>
    </w:p>
    <w:p w14:paraId="70A9DF5D" w14:textId="30BC3C6C" w:rsidR="00D17A72" w:rsidRPr="00D17A72" w:rsidRDefault="00D17A72" w:rsidP="00D17A72">
      <w:pPr>
        <w:spacing w:after="120" w:line="360" w:lineRule="auto"/>
        <w:ind w:left="567" w:right="1695"/>
        <w:rPr>
          <w:rFonts w:ascii="Arial" w:eastAsia="Arial" w:hAnsi="Arial" w:cs="Arial"/>
        </w:rPr>
      </w:pPr>
      <w:r w:rsidRPr="00D17A72">
        <w:rPr>
          <w:rFonts w:ascii="Arial" w:eastAsia="Arial" w:hAnsi="Arial" w:cs="Arial"/>
        </w:rPr>
        <w:t xml:space="preserve">Hydraulische Verschiebefahrgasse bei der </w:t>
      </w:r>
      <w:proofErr w:type="spellStart"/>
      <w:r w:rsidRPr="00D17A72">
        <w:rPr>
          <w:rFonts w:ascii="Arial" w:eastAsia="Arial" w:hAnsi="Arial" w:cs="Arial"/>
        </w:rPr>
        <w:t>Precea</w:t>
      </w:r>
      <w:proofErr w:type="spellEnd"/>
      <w:r w:rsidRPr="00D17A72">
        <w:rPr>
          <w:rFonts w:ascii="Arial" w:eastAsia="Arial" w:hAnsi="Arial" w:cs="Arial"/>
        </w:rPr>
        <w:t xml:space="preserve"> 6000-2FCC – symmetrische Anordnung</w:t>
      </w:r>
    </w:p>
    <w:p w14:paraId="78DE2B45" w14:textId="77777777" w:rsidR="00D17A72" w:rsidRDefault="00D17A72" w:rsidP="00070765">
      <w:pPr>
        <w:spacing w:after="120" w:line="360" w:lineRule="auto"/>
        <w:ind w:left="567" w:right="1695"/>
        <w:rPr>
          <w:rFonts w:ascii="Arial" w:eastAsia="Arial" w:hAnsi="Arial" w:cs="Arial"/>
        </w:rPr>
      </w:pPr>
    </w:p>
    <w:p w14:paraId="54DCBCD4" w14:textId="2B1919EF" w:rsidR="00353431" w:rsidRDefault="00353431">
      <w:pPr>
        <w:rPr>
          <w:rFonts w:ascii="Arial" w:hAnsi="Arial" w:cs="Arial"/>
          <w:b/>
          <w:bCs/>
          <w:color w:val="808080" w:themeColor="background1" w:themeShade="80"/>
          <w:sz w:val="20"/>
          <w:szCs w:val="20"/>
        </w:rPr>
      </w:pPr>
    </w:p>
    <w:p w14:paraId="7D04A150" w14:textId="35AD82CF" w:rsidR="00102558" w:rsidRDefault="00102558">
      <w:pPr>
        <w:rPr>
          <w:rFonts w:ascii="Arial" w:hAnsi="Arial" w:cs="Arial"/>
          <w:b/>
          <w:bCs/>
          <w:color w:val="808080" w:themeColor="background1" w:themeShade="80"/>
          <w:sz w:val="20"/>
          <w:szCs w:val="20"/>
        </w:rPr>
      </w:pPr>
    </w:p>
    <w:p w14:paraId="5C8005B5" w14:textId="3667C7AC" w:rsidR="00102558" w:rsidRDefault="00102558">
      <w:pPr>
        <w:rPr>
          <w:rFonts w:ascii="Arial" w:hAnsi="Arial" w:cs="Arial"/>
          <w:b/>
          <w:bCs/>
          <w:color w:val="808080" w:themeColor="background1" w:themeShade="80"/>
          <w:sz w:val="20"/>
          <w:szCs w:val="20"/>
        </w:rPr>
      </w:pPr>
    </w:p>
    <w:p w14:paraId="4663DFEF" w14:textId="0092B47C" w:rsidR="00102558" w:rsidRDefault="00102558">
      <w:pPr>
        <w:rPr>
          <w:rFonts w:ascii="Arial" w:hAnsi="Arial" w:cs="Arial"/>
          <w:b/>
          <w:bCs/>
          <w:color w:val="808080" w:themeColor="background1" w:themeShade="80"/>
          <w:sz w:val="20"/>
          <w:szCs w:val="20"/>
        </w:rPr>
      </w:pPr>
    </w:p>
    <w:p w14:paraId="1722B8AA" w14:textId="2A130D67" w:rsidR="00102558" w:rsidRDefault="00102558">
      <w:pPr>
        <w:rPr>
          <w:rFonts w:ascii="Arial" w:hAnsi="Arial" w:cs="Arial"/>
          <w:b/>
          <w:bCs/>
          <w:color w:val="808080" w:themeColor="background1" w:themeShade="80"/>
          <w:sz w:val="20"/>
          <w:szCs w:val="20"/>
        </w:rPr>
      </w:pPr>
    </w:p>
    <w:p w14:paraId="37F5FDE0" w14:textId="73194736" w:rsidR="00102558" w:rsidRDefault="00102558">
      <w:pPr>
        <w:rPr>
          <w:rFonts w:ascii="Arial" w:hAnsi="Arial" w:cs="Arial"/>
          <w:b/>
          <w:bCs/>
          <w:color w:val="808080" w:themeColor="background1" w:themeShade="80"/>
          <w:sz w:val="20"/>
          <w:szCs w:val="20"/>
        </w:rPr>
      </w:pPr>
    </w:p>
    <w:p w14:paraId="2BCDDA0E" w14:textId="1333133F" w:rsidR="00102558" w:rsidRDefault="00102558">
      <w:pPr>
        <w:rPr>
          <w:rFonts w:ascii="Arial" w:hAnsi="Arial" w:cs="Arial"/>
          <w:b/>
          <w:bCs/>
          <w:color w:val="808080" w:themeColor="background1" w:themeShade="80"/>
          <w:sz w:val="20"/>
          <w:szCs w:val="20"/>
        </w:rPr>
      </w:pPr>
    </w:p>
    <w:p w14:paraId="2976084B" w14:textId="3028E5C3" w:rsidR="00102558" w:rsidRDefault="00102558">
      <w:pPr>
        <w:rPr>
          <w:rFonts w:ascii="Arial" w:hAnsi="Arial" w:cs="Arial"/>
          <w:b/>
          <w:bCs/>
          <w:color w:val="808080" w:themeColor="background1" w:themeShade="80"/>
          <w:sz w:val="20"/>
          <w:szCs w:val="20"/>
        </w:rPr>
      </w:pPr>
    </w:p>
    <w:p w14:paraId="2C032C61" w14:textId="10CA441B" w:rsidR="00102558" w:rsidRDefault="00102558">
      <w:pPr>
        <w:rPr>
          <w:rFonts w:ascii="Arial" w:hAnsi="Arial" w:cs="Arial"/>
          <w:b/>
          <w:bCs/>
          <w:color w:val="808080" w:themeColor="background1" w:themeShade="80"/>
          <w:sz w:val="20"/>
          <w:szCs w:val="20"/>
        </w:rPr>
      </w:pPr>
    </w:p>
    <w:p w14:paraId="3AA3827F" w14:textId="2DD20EF1" w:rsidR="00102558" w:rsidRDefault="00102558">
      <w:pPr>
        <w:rPr>
          <w:rFonts w:ascii="Arial" w:hAnsi="Arial" w:cs="Arial"/>
          <w:b/>
          <w:bCs/>
          <w:color w:val="808080" w:themeColor="background1" w:themeShade="80"/>
          <w:sz w:val="20"/>
          <w:szCs w:val="20"/>
        </w:rPr>
      </w:pPr>
    </w:p>
    <w:p w14:paraId="6E93EDFE" w14:textId="3C1E1D30" w:rsidR="00102558" w:rsidRDefault="00102558">
      <w:pPr>
        <w:rPr>
          <w:rFonts w:ascii="Arial" w:hAnsi="Arial" w:cs="Arial"/>
          <w:b/>
          <w:bCs/>
          <w:color w:val="808080" w:themeColor="background1" w:themeShade="80"/>
          <w:sz w:val="20"/>
          <w:szCs w:val="20"/>
        </w:rPr>
      </w:pPr>
    </w:p>
    <w:p w14:paraId="6A529446" w14:textId="7D0F3976" w:rsidR="00102558" w:rsidRDefault="00102558">
      <w:pPr>
        <w:rPr>
          <w:rFonts w:ascii="Arial" w:hAnsi="Arial" w:cs="Arial"/>
          <w:b/>
          <w:bCs/>
          <w:color w:val="808080" w:themeColor="background1" w:themeShade="80"/>
          <w:sz w:val="20"/>
          <w:szCs w:val="20"/>
        </w:rPr>
      </w:pPr>
    </w:p>
    <w:p w14:paraId="4C1C639F" w14:textId="7826990F" w:rsidR="00102558" w:rsidRDefault="00102558">
      <w:pPr>
        <w:rPr>
          <w:rFonts w:ascii="Arial" w:hAnsi="Arial" w:cs="Arial"/>
          <w:b/>
          <w:bCs/>
          <w:color w:val="808080" w:themeColor="background1" w:themeShade="80"/>
          <w:sz w:val="20"/>
          <w:szCs w:val="20"/>
        </w:rPr>
      </w:pPr>
    </w:p>
    <w:p w14:paraId="7BCACD88" w14:textId="2E3BC8A1" w:rsidR="00102558" w:rsidRDefault="00102558">
      <w:pPr>
        <w:rPr>
          <w:rFonts w:ascii="Arial" w:hAnsi="Arial" w:cs="Arial"/>
          <w:b/>
          <w:bCs/>
          <w:color w:val="808080" w:themeColor="background1" w:themeShade="80"/>
          <w:sz w:val="20"/>
          <w:szCs w:val="20"/>
        </w:rPr>
      </w:pPr>
    </w:p>
    <w:p w14:paraId="468C8375" w14:textId="179BF779" w:rsidR="00102558" w:rsidRDefault="00102558">
      <w:pPr>
        <w:rPr>
          <w:rFonts w:ascii="Arial" w:hAnsi="Arial" w:cs="Arial"/>
          <w:b/>
          <w:bCs/>
          <w:color w:val="808080" w:themeColor="background1" w:themeShade="80"/>
          <w:sz w:val="20"/>
          <w:szCs w:val="20"/>
        </w:rPr>
      </w:pPr>
    </w:p>
    <w:p w14:paraId="781A053F" w14:textId="77777777" w:rsidR="00102558" w:rsidRDefault="00102558">
      <w:pPr>
        <w:rPr>
          <w:rFonts w:ascii="Arial" w:hAnsi="Arial" w:cs="Arial"/>
          <w:b/>
          <w:bCs/>
          <w:color w:val="808080" w:themeColor="background1" w:themeShade="80"/>
          <w:sz w:val="20"/>
          <w:szCs w:val="20"/>
        </w:rPr>
      </w:pP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90A24A8" w14:textId="77777777"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sidR="00A049A0">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sidR="00A049A0">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r w:rsidR="004B2822">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2" w:history="1">
        <w:r w:rsidR="00A46482" w:rsidRPr="00047000">
          <w:rPr>
            <w:rStyle w:val="Hyperlink"/>
            <w:rFonts w:ascii="Arial" w:hAnsi="Arial" w:cs="Arial"/>
            <w:bCs/>
            <w:sz w:val="20"/>
            <w:szCs w:val="20"/>
          </w:rPr>
          <w:t>www.amazone.de</w:t>
        </w:r>
      </w:hyperlink>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sidRPr="00E12CE4">
        <w:rPr>
          <w:noProof/>
          <w:color w:val="0563C1"/>
        </w:rPr>
        <w:drawing>
          <wp:inline distT="0" distB="0" distL="0" distR="0" wp14:anchorId="3232BA44" wp14:editId="67A1B588">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DA73A41" wp14:editId="31F2BE02">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844C388" wp14:editId="0E097ACA">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56E5A95" wp14:editId="1DB3C5BC">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2115B03" wp14:editId="6470335A">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Sect="007D56A1">
      <w:headerReference w:type="even" r:id="rId28"/>
      <w:headerReference w:type="default" r:id="rId29"/>
      <w:footerReference w:type="even" r:id="rId30"/>
      <w:footerReference w:type="default" r:id="rId31"/>
      <w:headerReference w:type="first" r:id="rId32"/>
      <w:footerReference w:type="first" r:id="rId33"/>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11FA17" w14:textId="77777777" w:rsidR="00E17AAF" w:rsidRDefault="00E17AAF">
      <w:r>
        <w:separator/>
      </w:r>
    </w:p>
  </w:endnote>
  <w:endnote w:type="continuationSeparator" w:id="0">
    <w:p w14:paraId="1A3F3E1E" w14:textId="77777777" w:rsidR="00E17AAF" w:rsidRDefault="00E17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0FD3">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0FD3">
                            <w:rPr>
                              <w:rFonts w:ascii="Arial" w:hAnsi="Arial"/>
                              <w:noProof/>
                              <w:sz w:val="20"/>
                            </w:rPr>
                            <w:t>4</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0FD3">
                      <w:rPr>
                        <w:rFonts w:ascii="Arial" w:hAnsi="Arial"/>
                        <w:noProof/>
                        <w:sz w:val="20"/>
                      </w:rPr>
                      <w:t>4</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0FD3">
                      <w:rPr>
                        <w:rFonts w:ascii="Arial" w:hAnsi="Arial"/>
                        <w:noProof/>
                        <w:sz w:val="20"/>
                      </w:rPr>
                      <w:t>4</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71BAD4" w14:textId="77777777" w:rsidR="00E17AAF" w:rsidRDefault="00E17AAF">
      <w:r>
        <w:separator/>
      </w:r>
    </w:p>
  </w:footnote>
  <w:footnote w:type="continuationSeparator" w:id="0">
    <w:p w14:paraId="21B09C07" w14:textId="77777777" w:rsidR="00E17AAF" w:rsidRDefault="00E17A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CF4673C"/>
    <w:multiLevelType w:val="hybridMultilevel"/>
    <w:tmpl w:val="8BD2820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6"/>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558"/>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22B7"/>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28A5"/>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0FD3"/>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17A72"/>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7AAF"/>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facebook.com/amazone.group"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amazone.de"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33"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instagram.com/amazone_group" TargetMode="External"/><Relationship Id="rId20" Type="http://schemas.openxmlformats.org/officeDocument/2006/relationships/image" Target="media/image7.jpe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group/" TargetMode="External"/><Relationship Id="rId27" Type="http://schemas.openxmlformats.org/officeDocument/2006/relationships/image" Target="cid:Xing1_e3730686-2953-47a9-9c47-dbaa518a9207.jpg" TargetMode="External"/><Relationship Id="rId30" Type="http://schemas.openxmlformats.org/officeDocument/2006/relationships/footer" Target="footer1.xml"/><Relationship Id="rId35" Type="http://schemas.openxmlformats.org/officeDocument/2006/relationships/theme" Target="theme/theme1.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23DC4E-427F-48A4-BDFA-3462F2B523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359</Words>
  <Characters>2749</Characters>
  <Application>Microsoft Office Word</Application>
  <DocSecurity>0</DocSecurity>
  <Lines>22</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3102</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2021-10-06T14:16:00Z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