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7146D" w14:textId="77777777" w:rsidR="001F787C" w:rsidRPr="001F787C" w:rsidRDefault="001F787C" w:rsidP="001F787C">
      <w:pPr>
        <w:spacing w:after="120" w:line="360" w:lineRule="auto"/>
        <w:ind w:left="567" w:right="1695"/>
        <w:rPr>
          <w:rFonts w:ascii="Arial" w:hAnsi="Arial" w:cs="Arial"/>
          <w:b/>
          <w:bCs/>
          <w:sz w:val="28"/>
          <w:szCs w:val="28"/>
          <w:lang w:val="en-GB"/>
        </w:rPr>
      </w:pPr>
      <w:proofErr w:type="spellStart"/>
      <w:r w:rsidRPr="001F787C">
        <w:rPr>
          <w:rFonts w:ascii="Arial" w:hAnsi="Arial" w:cs="Arial"/>
          <w:b/>
          <w:bCs/>
          <w:sz w:val="28"/>
          <w:szCs w:val="28"/>
          <w:lang w:val="en-GB"/>
        </w:rPr>
        <w:t>Centaya</w:t>
      </w:r>
      <w:proofErr w:type="spellEnd"/>
      <w:r w:rsidRPr="001F787C">
        <w:rPr>
          <w:rFonts w:ascii="Arial" w:hAnsi="Arial" w:cs="Arial"/>
          <w:b/>
          <w:bCs/>
          <w:sz w:val="28"/>
          <w:szCs w:val="28"/>
          <w:lang w:val="en-GB"/>
        </w:rPr>
        <w:t>-C harrow-mounted seed drill for combined sowing</w:t>
      </w:r>
    </w:p>
    <w:p w14:paraId="3DA28425" w14:textId="77777777" w:rsidR="006D13F7" w:rsidRPr="001F787C" w:rsidRDefault="006D13F7" w:rsidP="00C120E2">
      <w:pPr>
        <w:spacing w:after="120" w:line="360" w:lineRule="auto"/>
        <w:ind w:left="567" w:right="1695"/>
        <w:rPr>
          <w:rFonts w:ascii="Arial" w:eastAsia="Arial" w:hAnsi="Arial" w:cs="Arial"/>
          <w:lang w:val="en-GB"/>
        </w:rPr>
      </w:pPr>
    </w:p>
    <w:p w14:paraId="253974F1" w14:textId="77777777"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AMAZONE is extending the range of pneumatic harrow-mounted seed drill with the new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The special feature of the sowing combination is the new 2,000 l twin chamber hopper. This makes it possible to apply several materials in a single pass. The new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is available in working widths of 3, 3.5 and 4 m. </w:t>
      </w:r>
    </w:p>
    <w:p w14:paraId="284810E7" w14:textId="77777777" w:rsidR="001F787C" w:rsidRPr="001F787C" w:rsidRDefault="001F787C" w:rsidP="001F787C">
      <w:pPr>
        <w:spacing w:after="120" w:line="360" w:lineRule="auto"/>
        <w:ind w:left="567" w:right="1695"/>
        <w:rPr>
          <w:rFonts w:ascii="Arial" w:eastAsia="Arial" w:hAnsi="Arial" w:cs="Arial"/>
          <w:lang w:val="en-GB"/>
        </w:rPr>
      </w:pPr>
    </w:p>
    <w:p w14:paraId="6FBD2F1A" w14:textId="77777777"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b/>
          <w:bCs/>
          <w:lang w:val="en-GB"/>
        </w:rPr>
        <w:t xml:space="preserve">Wide range of applications </w:t>
      </w:r>
    </w:p>
    <w:p w14:paraId="47C4F9B2" w14:textId="77777777"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As a result of the increasing challenges in professional crop establishment, the requirements for a modern seeding system as the basis for achieving the highest yields are constantly increasing. Precise seed metering and exact depth placement therefore </w:t>
      </w:r>
      <w:proofErr w:type="gramStart"/>
      <w:r w:rsidRPr="001F787C">
        <w:rPr>
          <w:rFonts w:ascii="Arial" w:eastAsia="Arial" w:hAnsi="Arial" w:cs="Arial"/>
          <w:lang w:val="en-GB"/>
        </w:rPr>
        <w:t>have to</w:t>
      </w:r>
      <w:proofErr w:type="gramEnd"/>
      <w:r w:rsidRPr="001F787C">
        <w:rPr>
          <w:rFonts w:ascii="Arial" w:eastAsia="Arial" w:hAnsi="Arial" w:cs="Arial"/>
          <w:lang w:val="en-GB"/>
        </w:rPr>
        <w:t xml:space="preserve"> have top priority. Furthermore, there is a particular focus on the simultaneous application of more than one seed type, or the parallel application of fertiliser with the seed. The twin-chamber hopper means that the new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now offers the option of sowing companion crops and </w:t>
      </w:r>
      <w:proofErr w:type="spellStart"/>
      <w:r w:rsidRPr="001F787C">
        <w:rPr>
          <w:rFonts w:ascii="Arial" w:eastAsia="Arial" w:hAnsi="Arial" w:cs="Arial"/>
          <w:lang w:val="en-GB"/>
        </w:rPr>
        <w:t>undersowing</w:t>
      </w:r>
      <w:proofErr w:type="spellEnd"/>
      <w:r w:rsidRPr="001F787C">
        <w:rPr>
          <w:rFonts w:ascii="Arial" w:eastAsia="Arial" w:hAnsi="Arial" w:cs="Arial"/>
          <w:lang w:val="en-GB"/>
        </w:rPr>
        <w:t xml:space="preserve"> in addition to the main cash crop. These are of great benefit for weed suppression and for increasing erosion control and biodiversity. In addition, the simultaneous application of fertiliser is an efficient solution that leads to rapid seedling development and high field emergence. This sowing technique offers farmers and contractors a variety of agronomical methods and a high degree of flexibility by the combination of seed and fertiliser. Moreover, fuel and time can be saved through a reduction in the number of passes. </w:t>
      </w:r>
    </w:p>
    <w:p w14:paraId="6AAC083D" w14:textId="77777777" w:rsidR="001F787C" w:rsidRPr="001F787C" w:rsidRDefault="001F787C" w:rsidP="001F787C">
      <w:pPr>
        <w:spacing w:after="120" w:line="360" w:lineRule="auto"/>
        <w:ind w:left="567" w:right="1695"/>
        <w:rPr>
          <w:rFonts w:ascii="Arial" w:eastAsia="Arial" w:hAnsi="Arial" w:cs="Arial"/>
          <w:lang w:val="en-GB"/>
        </w:rPr>
      </w:pPr>
    </w:p>
    <w:p w14:paraId="64C4FF8C" w14:textId="77777777" w:rsidR="001F787C" w:rsidRPr="001F787C" w:rsidRDefault="001F787C" w:rsidP="001F787C">
      <w:pPr>
        <w:spacing w:after="120" w:line="360" w:lineRule="auto"/>
        <w:ind w:left="567" w:right="1695"/>
        <w:rPr>
          <w:rFonts w:ascii="Arial" w:eastAsia="Arial" w:hAnsi="Arial" w:cs="Arial"/>
          <w:b/>
          <w:bCs/>
          <w:lang w:val="en-GB"/>
        </w:rPr>
      </w:pPr>
      <w:r w:rsidRPr="001F787C">
        <w:rPr>
          <w:rFonts w:ascii="Arial" w:eastAsia="Arial" w:hAnsi="Arial" w:cs="Arial"/>
          <w:b/>
          <w:bCs/>
          <w:lang w:val="en-GB"/>
        </w:rPr>
        <w:t xml:space="preserve">Up to three different placement points </w:t>
      </w:r>
    </w:p>
    <w:p w14:paraId="50062F97" w14:textId="499FCA86"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The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can be equipped with either the </w:t>
      </w:r>
      <w:proofErr w:type="spellStart"/>
      <w:r w:rsidRPr="001F787C">
        <w:rPr>
          <w:rFonts w:ascii="Arial" w:eastAsia="Arial" w:hAnsi="Arial" w:cs="Arial"/>
          <w:lang w:val="en-GB"/>
        </w:rPr>
        <w:t>RoTeC</w:t>
      </w:r>
      <w:proofErr w:type="spellEnd"/>
      <w:r w:rsidRPr="001F787C">
        <w:rPr>
          <w:rFonts w:ascii="Arial" w:eastAsia="Arial" w:hAnsi="Arial" w:cs="Arial"/>
          <w:lang w:val="en-GB"/>
        </w:rPr>
        <w:t xml:space="preserve"> pro single disc or the </w:t>
      </w:r>
      <w:proofErr w:type="spellStart"/>
      <w:r w:rsidRPr="001F787C">
        <w:rPr>
          <w:rFonts w:ascii="Arial" w:eastAsia="Arial" w:hAnsi="Arial" w:cs="Arial"/>
          <w:lang w:val="en-GB"/>
        </w:rPr>
        <w:t>TwinTeC</w:t>
      </w:r>
      <w:proofErr w:type="spellEnd"/>
      <w:r w:rsidRPr="001F787C">
        <w:rPr>
          <w:rFonts w:ascii="Arial" w:eastAsia="Arial" w:hAnsi="Arial" w:cs="Arial"/>
          <w:lang w:val="en-GB"/>
        </w:rPr>
        <w:t xml:space="preserve"> double disc coulters.</w:t>
      </w:r>
    </w:p>
    <w:p w14:paraId="31E2B545" w14:textId="12294E46"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The 400 mm </w:t>
      </w:r>
      <w:proofErr w:type="spellStart"/>
      <w:r w:rsidRPr="001F787C">
        <w:rPr>
          <w:rFonts w:ascii="Arial" w:eastAsia="Arial" w:hAnsi="Arial" w:cs="Arial"/>
          <w:lang w:val="en-GB"/>
        </w:rPr>
        <w:t>RoTeC</w:t>
      </w:r>
      <w:proofErr w:type="spellEnd"/>
      <w:r w:rsidRPr="001F787C">
        <w:rPr>
          <w:rFonts w:ascii="Arial" w:eastAsia="Arial" w:hAnsi="Arial" w:cs="Arial"/>
          <w:lang w:val="en-GB"/>
        </w:rPr>
        <w:t xml:space="preserve"> pro coulter enables the application of two media utilising the single-shoot process. In this case, the </w:t>
      </w:r>
      <w:proofErr w:type="gramStart"/>
      <w:r w:rsidRPr="001F787C">
        <w:rPr>
          <w:rFonts w:ascii="Arial" w:eastAsia="Arial" w:hAnsi="Arial" w:cs="Arial"/>
          <w:lang w:val="en-GB"/>
        </w:rPr>
        <w:t>individually-metered</w:t>
      </w:r>
      <w:proofErr w:type="gramEnd"/>
      <w:r w:rsidRPr="001F787C">
        <w:rPr>
          <w:rFonts w:ascii="Arial" w:eastAsia="Arial" w:hAnsi="Arial" w:cs="Arial"/>
          <w:lang w:val="en-GB"/>
        </w:rPr>
        <w:t xml:space="preserve"> materials are brought together in the single disc coulter and fed to a single entry point using </w:t>
      </w:r>
      <w:r w:rsidRPr="001F787C">
        <w:rPr>
          <w:rFonts w:ascii="Arial" w:eastAsia="Arial" w:hAnsi="Arial" w:cs="Arial"/>
          <w:lang w:val="en-GB"/>
        </w:rPr>
        <w:lastRenderedPageBreak/>
        <w:t>the same conveying system. This enables, for example, a small amount of fertiliser to be placed directly in the row along with the grain.</w:t>
      </w:r>
    </w:p>
    <w:p w14:paraId="752A1351" w14:textId="55AC93DE"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In conjunction with the </w:t>
      </w:r>
      <w:proofErr w:type="spellStart"/>
      <w:r w:rsidRPr="001F787C">
        <w:rPr>
          <w:rFonts w:ascii="Arial" w:eastAsia="Arial" w:hAnsi="Arial" w:cs="Arial"/>
          <w:lang w:val="en-GB"/>
        </w:rPr>
        <w:t>TwinTeC</w:t>
      </w:r>
      <w:proofErr w:type="spellEnd"/>
      <w:r w:rsidRPr="001F787C">
        <w:rPr>
          <w:rFonts w:ascii="Arial" w:eastAsia="Arial" w:hAnsi="Arial" w:cs="Arial"/>
          <w:lang w:val="en-GB"/>
        </w:rPr>
        <w:t xml:space="preserve"> double disc coulter, it is even possible to apply two different seed types or seed and fertiliser at two different entry points utilising the double-shoot process. In this case, the first medium is embedded in the soil via the </w:t>
      </w:r>
      <w:proofErr w:type="spellStart"/>
      <w:r w:rsidRPr="001F787C">
        <w:rPr>
          <w:rFonts w:ascii="Arial" w:eastAsia="Arial" w:hAnsi="Arial" w:cs="Arial"/>
          <w:lang w:val="en-GB"/>
        </w:rPr>
        <w:t>TwinTeC</w:t>
      </w:r>
      <w:proofErr w:type="spellEnd"/>
      <w:r w:rsidRPr="001F787C">
        <w:rPr>
          <w:rFonts w:ascii="Arial" w:eastAsia="Arial" w:hAnsi="Arial" w:cs="Arial"/>
          <w:lang w:val="en-GB"/>
        </w:rPr>
        <w:t xml:space="preserve"> </w:t>
      </w:r>
      <w:proofErr w:type="gramStart"/>
      <w:r w:rsidRPr="001F787C">
        <w:rPr>
          <w:rFonts w:ascii="Arial" w:eastAsia="Arial" w:hAnsi="Arial" w:cs="Arial"/>
          <w:lang w:val="en-GB"/>
        </w:rPr>
        <w:t>coulter</w:t>
      </w:r>
      <w:proofErr w:type="gramEnd"/>
      <w:r w:rsidRPr="001F787C">
        <w:rPr>
          <w:rFonts w:ascii="Arial" w:eastAsia="Arial" w:hAnsi="Arial" w:cs="Arial"/>
          <w:lang w:val="en-GB"/>
        </w:rPr>
        <w:t xml:space="preserve"> and the second medium is conveyed to an additional outlet on the </w:t>
      </w:r>
      <w:proofErr w:type="spellStart"/>
      <w:r w:rsidRPr="001F787C">
        <w:rPr>
          <w:rFonts w:ascii="Arial" w:eastAsia="Arial" w:hAnsi="Arial" w:cs="Arial"/>
          <w:lang w:val="en-GB"/>
        </w:rPr>
        <w:t>TwinTeC</w:t>
      </w:r>
      <w:proofErr w:type="spellEnd"/>
      <w:r w:rsidRPr="001F787C">
        <w:rPr>
          <w:rFonts w:ascii="Arial" w:eastAsia="Arial" w:hAnsi="Arial" w:cs="Arial"/>
          <w:lang w:val="en-GB"/>
        </w:rPr>
        <w:t xml:space="preserve"> coulter via a separate conveyor system and placed in the soil in front of the depth guidance roller. This offset placement means, for instance, that fertiliser can be used precisely, thereby ensuring a more comprehensive supply to the plant.</w:t>
      </w:r>
    </w:p>
    <w:p w14:paraId="6A3410EB" w14:textId="77777777"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The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can also be used in conjunction with the </w:t>
      </w:r>
      <w:proofErr w:type="spellStart"/>
      <w:r w:rsidRPr="001F787C">
        <w:rPr>
          <w:rFonts w:ascii="Arial" w:eastAsia="Arial" w:hAnsi="Arial" w:cs="Arial"/>
          <w:lang w:val="en-GB"/>
        </w:rPr>
        <w:t>GreenDrill</w:t>
      </w:r>
      <w:proofErr w:type="spellEnd"/>
      <w:r w:rsidRPr="001F787C">
        <w:rPr>
          <w:rFonts w:ascii="Arial" w:eastAsia="Arial" w:hAnsi="Arial" w:cs="Arial"/>
          <w:lang w:val="en-GB"/>
        </w:rPr>
        <w:t xml:space="preserve"> 200 catch crop </w:t>
      </w:r>
      <w:proofErr w:type="spellStart"/>
      <w:r w:rsidRPr="001F787C">
        <w:rPr>
          <w:rFonts w:ascii="Arial" w:eastAsia="Arial" w:hAnsi="Arial" w:cs="Arial"/>
          <w:lang w:val="en-GB"/>
        </w:rPr>
        <w:t>seeder</w:t>
      </w:r>
      <w:proofErr w:type="spellEnd"/>
      <w:r w:rsidRPr="001F787C">
        <w:rPr>
          <w:rFonts w:ascii="Arial" w:eastAsia="Arial" w:hAnsi="Arial" w:cs="Arial"/>
          <w:lang w:val="en-GB"/>
        </w:rPr>
        <w:t xml:space="preserve"> box for the simultaneous sowing of catch crops or fine seeds. This combination allows a third material to be applied to the soil surface via baffle plates. In this respect, the seed is fed directly from the </w:t>
      </w:r>
      <w:proofErr w:type="gramStart"/>
      <w:r w:rsidRPr="001F787C">
        <w:rPr>
          <w:rFonts w:ascii="Arial" w:eastAsia="Arial" w:hAnsi="Arial" w:cs="Arial"/>
          <w:lang w:val="en-GB"/>
        </w:rPr>
        <w:t>200 l</w:t>
      </w:r>
      <w:proofErr w:type="gramEnd"/>
      <w:r w:rsidRPr="001F787C">
        <w:rPr>
          <w:rFonts w:ascii="Arial" w:eastAsia="Arial" w:hAnsi="Arial" w:cs="Arial"/>
          <w:lang w:val="en-GB"/>
        </w:rPr>
        <w:t xml:space="preserve"> mounted hopper down to baffle plates behind the seed drill. </w:t>
      </w:r>
    </w:p>
    <w:p w14:paraId="6A7A095F" w14:textId="77777777" w:rsidR="001F787C" w:rsidRPr="001F787C" w:rsidRDefault="001F787C" w:rsidP="001F787C">
      <w:pPr>
        <w:spacing w:after="120" w:line="360" w:lineRule="auto"/>
        <w:ind w:left="567" w:right="1695"/>
        <w:rPr>
          <w:rFonts w:ascii="Arial" w:eastAsia="Arial" w:hAnsi="Arial" w:cs="Arial"/>
          <w:lang w:val="en-GB"/>
        </w:rPr>
      </w:pPr>
    </w:p>
    <w:p w14:paraId="66C660F8" w14:textId="77777777" w:rsidR="001F787C" w:rsidRPr="001F787C" w:rsidRDefault="001F787C" w:rsidP="001F787C">
      <w:pPr>
        <w:spacing w:after="120" w:line="360" w:lineRule="auto"/>
        <w:ind w:left="567" w:right="1695"/>
        <w:rPr>
          <w:rFonts w:ascii="Arial" w:eastAsia="Arial" w:hAnsi="Arial" w:cs="Arial"/>
          <w:b/>
          <w:bCs/>
          <w:lang w:val="en-GB"/>
        </w:rPr>
      </w:pPr>
      <w:r w:rsidRPr="001F787C">
        <w:rPr>
          <w:rFonts w:ascii="Arial" w:eastAsia="Arial" w:hAnsi="Arial" w:cs="Arial"/>
          <w:b/>
          <w:bCs/>
          <w:lang w:val="en-GB"/>
        </w:rPr>
        <w:t xml:space="preserve">Precise, </w:t>
      </w:r>
      <w:proofErr w:type="gramStart"/>
      <w:r w:rsidRPr="001F787C">
        <w:rPr>
          <w:rFonts w:ascii="Arial" w:eastAsia="Arial" w:hAnsi="Arial" w:cs="Arial"/>
          <w:b/>
          <w:bCs/>
          <w:lang w:val="en-GB"/>
        </w:rPr>
        <w:t>smart</w:t>
      </w:r>
      <w:proofErr w:type="gramEnd"/>
      <w:r w:rsidRPr="001F787C">
        <w:rPr>
          <w:rFonts w:ascii="Arial" w:eastAsia="Arial" w:hAnsi="Arial" w:cs="Arial"/>
          <w:b/>
          <w:bCs/>
          <w:lang w:val="en-GB"/>
        </w:rPr>
        <w:t xml:space="preserve"> and highly productive</w:t>
      </w:r>
    </w:p>
    <w:p w14:paraId="31CABE57" w14:textId="58B18D94"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The ISOBUS-controlled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enables separate and precise metering of the various application materials via the infinitely adjustable electric metering units with sowing rates of 0.5 - 400 kg/ha. The </w:t>
      </w:r>
      <w:proofErr w:type="spellStart"/>
      <w:r w:rsidRPr="001F787C">
        <w:rPr>
          <w:rFonts w:ascii="Arial" w:eastAsia="Arial" w:hAnsi="Arial" w:cs="Arial"/>
          <w:lang w:val="en-GB"/>
        </w:rPr>
        <w:t>Centaya</w:t>
      </w:r>
      <w:proofErr w:type="spellEnd"/>
      <w:r w:rsidRPr="001F787C">
        <w:rPr>
          <w:rFonts w:ascii="Arial" w:eastAsia="Arial" w:hAnsi="Arial" w:cs="Arial"/>
          <w:lang w:val="en-GB"/>
        </w:rPr>
        <w:t>-C Super can be used at forward speeds of up to 12 km/h with row spacings of 12.5 and 15 cm.</w:t>
      </w:r>
    </w:p>
    <w:p w14:paraId="506531D9" w14:textId="2E91501E"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Filling is easy thanks to the large hopper opening. The seed hopper and the individual metering units can be easily accessed via the loading board. The </w:t>
      </w:r>
      <w:proofErr w:type="spellStart"/>
      <w:r w:rsidRPr="001F787C">
        <w:rPr>
          <w:rFonts w:ascii="Arial" w:eastAsia="Arial" w:hAnsi="Arial" w:cs="Arial"/>
          <w:lang w:val="en-GB"/>
        </w:rPr>
        <w:t>SmartCenter</w:t>
      </w:r>
      <w:proofErr w:type="spellEnd"/>
      <w:r w:rsidRPr="001F787C">
        <w:rPr>
          <w:rFonts w:ascii="Arial" w:eastAsia="Arial" w:hAnsi="Arial" w:cs="Arial"/>
          <w:lang w:val="en-GB"/>
        </w:rPr>
        <w:t xml:space="preserve"> permits user-friendly and precise calibration and machine setting. The application rates and roller speed are clearly displayed on the AMAZONE ISOBUS terminal </w:t>
      </w:r>
      <w:proofErr w:type="spellStart"/>
      <w:r w:rsidRPr="001F787C">
        <w:rPr>
          <w:rFonts w:ascii="Arial" w:eastAsia="Arial" w:hAnsi="Arial" w:cs="Arial"/>
          <w:lang w:val="en-GB"/>
        </w:rPr>
        <w:t>AmaTron</w:t>
      </w:r>
      <w:proofErr w:type="spellEnd"/>
      <w:r w:rsidRPr="001F787C">
        <w:rPr>
          <w:rFonts w:ascii="Arial" w:eastAsia="Arial" w:hAnsi="Arial" w:cs="Arial"/>
          <w:lang w:val="en-GB"/>
        </w:rPr>
        <w:t xml:space="preserve"> 4. The driver can change the seed rate from the tractor seat during work without any problems.</w:t>
      </w:r>
    </w:p>
    <w:p w14:paraId="1C415F9F" w14:textId="17BB5136"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The drill can be equipped with a quick-emptying device for fast seed changeover between jobs. An optional storage rack is available for storing additional sacks of seed.</w:t>
      </w:r>
    </w:p>
    <w:p w14:paraId="12FE1B06" w14:textId="77777777"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lastRenderedPageBreak/>
        <w:t xml:space="preserve">The </w:t>
      </w:r>
      <w:proofErr w:type="gramStart"/>
      <w:r w:rsidRPr="001F787C">
        <w:rPr>
          <w:rFonts w:ascii="Arial" w:eastAsia="Arial" w:hAnsi="Arial" w:cs="Arial"/>
          <w:lang w:val="en-GB"/>
        </w:rPr>
        <w:t>2,000 l</w:t>
      </w:r>
      <w:proofErr w:type="gramEnd"/>
      <w:r w:rsidRPr="001F787C">
        <w:rPr>
          <w:rFonts w:ascii="Arial" w:eastAsia="Arial" w:hAnsi="Arial" w:cs="Arial"/>
          <w:lang w:val="en-GB"/>
        </w:rPr>
        <w:t xml:space="preserve"> twin-chamber hopper means that the </w:t>
      </w:r>
      <w:proofErr w:type="spellStart"/>
      <w:r w:rsidRPr="001F787C">
        <w:rPr>
          <w:rFonts w:ascii="Arial" w:eastAsia="Arial" w:hAnsi="Arial" w:cs="Arial"/>
          <w:lang w:val="en-GB"/>
        </w:rPr>
        <w:t>Centaya</w:t>
      </w:r>
      <w:proofErr w:type="spellEnd"/>
      <w:r w:rsidRPr="001F787C">
        <w:rPr>
          <w:rFonts w:ascii="Arial" w:eastAsia="Arial" w:hAnsi="Arial" w:cs="Arial"/>
          <w:lang w:val="en-GB"/>
        </w:rPr>
        <w:t>-C Super is highly productive. The hopper can be divided individually in a ratio of either 60:40 or 70:30 depending on the customer’s requirements. The special profile and the positioning of the metal hopper close to the tractor ensure a low lifting power requirement.</w:t>
      </w:r>
    </w:p>
    <w:p w14:paraId="395F7ADD" w14:textId="77777777" w:rsidR="001F787C" w:rsidRPr="001F787C" w:rsidRDefault="001F787C" w:rsidP="001F787C">
      <w:pPr>
        <w:spacing w:after="120" w:line="360" w:lineRule="auto"/>
        <w:ind w:left="567" w:right="1695"/>
        <w:rPr>
          <w:rFonts w:ascii="Arial" w:eastAsia="Arial" w:hAnsi="Arial" w:cs="Arial"/>
          <w:lang w:val="en-GB"/>
        </w:rPr>
      </w:pPr>
    </w:p>
    <w:p w14:paraId="1EF94747" w14:textId="77777777" w:rsidR="001F787C" w:rsidRPr="001F787C" w:rsidRDefault="001F787C" w:rsidP="001F787C">
      <w:pPr>
        <w:spacing w:after="120" w:line="360" w:lineRule="auto"/>
        <w:ind w:left="567" w:right="1695"/>
        <w:rPr>
          <w:rFonts w:ascii="Arial" w:eastAsia="Arial" w:hAnsi="Arial" w:cs="Arial"/>
          <w:lang w:val="en-GB"/>
        </w:rPr>
      </w:pPr>
      <w:proofErr w:type="spellStart"/>
      <w:r w:rsidRPr="001F787C">
        <w:rPr>
          <w:rFonts w:ascii="Arial" w:eastAsia="Arial" w:hAnsi="Arial" w:cs="Arial"/>
          <w:b/>
          <w:bCs/>
          <w:lang w:val="en-GB"/>
        </w:rPr>
        <w:t>QuickLink</w:t>
      </w:r>
      <w:proofErr w:type="spellEnd"/>
      <w:r w:rsidRPr="001F787C">
        <w:rPr>
          <w:rFonts w:ascii="Arial" w:eastAsia="Arial" w:hAnsi="Arial" w:cs="Arial"/>
          <w:b/>
          <w:bCs/>
          <w:lang w:val="en-GB"/>
        </w:rPr>
        <w:t xml:space="preserve"> quick coupling system </w:t>
      </w:r>
    </w:p>
    <w:p w14:paraId="5C304436" w14:textId="03BE1BBB" w:rsidR="001F787C" w:rsidRPr="001F787C" w:rsidRDefault="001F787C" w:rsidP="001F787C">
      <w:pPr>
        <w:spacing w:after="120" w:line="360" w:lineRule="auto"/>
        <w:ind w:left="567" w:right="1695"/>
        <w:rPr>
          <w:rFonts w:ascii="Arial" w:eastAsia="Arial" w:hAnsi="Arial" w:cs="Arial"/>
          <w:lang w:val="en-GB"/>
        </w:rPr>
      </w:pPr>
      <w:r w:rsidRPr="001F787C">
        <w:rPr>
          <w:rFonts w:ascii="Arial" w:eastAsia="Arial" w:hAnsi="Arial" w:cs="Arial"/>
          <w:lang w:val="en-GB"/>
        </w:rPr>
        <w:t xml:space="preserve">The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harrow-mounted seed drill can be very easily and quickly connected without tools to the various </w:t>
      </w:r>
      <w:r w:rsidR="00636990" w:rsidRPr="00636990">
        <w:rPr>
          <w:rFonts w:ascii="Arial" w:eastAsia="Arial" w:hAnsi="Arial" w:cs="Arial"/>
          <w:lang w:val="en-US"/>
        </w:rPr>
        <w:t xml:space="preserve">AMAZONE </w:t>
      </w:r>
      <w:r w:rsidRPr="001F787C">
        <w:rPr>
          <w:rFonts w:ascii="Arial" w:eastAsia="Arial" w:hAnsi="Arial" w:cs="Arial"/>
          <w:lang w:val="en-GB"/>
        </w:rPr>
        <w:t xml:space="preserve">soil tillage implements via the </w:t>
      </w:r>
      <w:proofErr w:type="spellStart"/>
      <w:r w:rsidRPr="001F787C">
        <w:rPr>
          <w:rFonts w:ascii="Arial" w:eastAsia="Arial" w:hAnsi="Arial" w:cs="Arial"/>
          <w:lang w:val="en-GB"/>
        </w:rPr>
        <w:t>QuickLink</w:t>
      </w:r>
      <w:proofErr w:type="spellEnd"/>
      <w:r w:rsidRPr="001F787C">
        <w:rPr>
          <w:rFonts w:ascii="Arial" w:eastAsia="Arial" w:hAnsi="Arial" w:cs="Arial"/>
          <w:lang w:val="en-GB"/>
        </w:rPr>
        <w:t xml:space="preserve"> quick coupling system. Depending on the soil conditions, it can be combined with the KE 02 rotary harrow or the KG and KX rotary cultivators. On very light soils, the </w:t>
      </w:r>
      <w:proofErr w:type="spellStart"/>
      <w:r w:rsidRPr="001F787C">
        <w:rPr>
          <w:rFonts w:ascii="Arial" w:eastAsia="Arial" w:hAnsi="Arial" w:cs="Arial"/>
          <w:lang w:val="en-GB"/>
        </w:rPr>
        <w:t>Centaya</w:t>
      </w:r>
      <w:proofErr w:type="spellEnd"/>
      <w:r w:rsidRPr="001F787C">
        <w:rPr>
          <w:rFonts w:ascii="Arial" w:eastAsia="Arial" w:hAnsi="Arial" w:cs="Arial"/>
          <w:lang w:val="en-GB"/>
        </w:rPr>
        <w:t xml:space="preserve">-C Super can be used with the compact disc harrow </w:t>
      </w:r>
      <w:proofErr w:type="spellStart"/>
      <w:r w:rsidRPr="001F787C">
        <w:rPr>
          <w:rFonts w:ascii="Arial" w:eastAsia="Arial" w:hAnsi="Arial" w:cs="Arial"/>
          <w:lang w:val="en-GB"/>
        </w:rPr>
        <w:t>CombiDisc</w:t>
      </w:r>
      <w:proofErr w:type="spellEnd"/>
      <w:r w:rsidRPr="001F787C">
        <w:rPr>
          <w:rFonts w:ascii="Arial" w:eastAsia="Arial" w:hAnsi="Arial" w:cs="Arial"/>
          <w:lang w:val="en-GB"/>
        </w:rPr>
        <w:t>.</w:t>
      </w:r>
    </w:p>
    <w:p w14:paraId="61427CB2" w14:textId="4EB6AC21" w:rsidR="0061248F" w:rsidRPr="001F787C" w:rsidRDefault="0061248F" w:rsidP="00070765">
      <w:pPr>
        <w:spacing w:after="120" w:line="360" w:lineRule="auto"/>
        <w:ind w:left="567" w:right="1695"/>
        <w:rPr>
          <w:rFonts w:ascii="Arial" w:hAnsi="Arial" w:cs="Arial"/>
          <w:bCs/>
          <w:lang w:val="en-US"/>
        </w:rPr>
      </w:pPr>
    </w:p>
    <w:p w14:paraId="50F6444E" w14:textId="12A747C5" w:rsidR="0061248F" w:rsidRPr="001F787C" w:rsidRDefault="0061248F" w:rsidP="00070765">
      <w:pPr>
        <w:spacing w:after="120" w:line="360" w:lineRule="auto"/>
        <w:ind w:left="567" w:right="1695"/>
        <w:rPr>
          <w:rFonts w:ascii="Arial" w:hAnsi="Arial" w:cs="Arial"/>
          <w:bCs/>
          <w:lang w:val="en-US"/>
        </w:rPr>
      </w:pPr>
    </w:p>
    <w:p w14:paraId="5798FBD9" w14:textId="1EB45EFA" w:rsidR="0061248F" w:rsidRPr="001F787C" w:rsidRDefault="0061248F" w:rsidP="00070765">
      <w:pPr>
        <w:spacing w:after="120" w:line="360" w:lineRule="auto"/>
        <w:ind w:left="567" w:right="1695"/>
        <w:rPr>
          <w:rFonts w:ascii="Arial" w:hAnsi="Arial" w:cs="Arial"/>
          <w:bCs/>
          <w:lang w:val="en-US"/>
        </w:rPr>
      </w:pPr>
    </w:p>
    <w:p w14:paraId="08AC6701" w14:textId="0DED8AC0" w:rsidR="006D13F7" w:rsidRDefault="006D13F7" w:rsidP="00070765">
      <w:pPr>
        <w:spacing w:after="120" w:line="360" w:lineRule="auto"/>
        <w:ind w:left="567" w:right="1695"/>
        <w:rPr>
          <w:rFonts w:ascii="Arial" w:hAnsi="Arial" w:cs="Arial"/>
          <w:bCs/>
        </w:rPr>
      </w:pPr>
      <w:r>
        <w:rPr>
          <w:rFonts w:ascii="Arial" w:hAnsi="Arial" w:cs="Arial"/>
          <w:bCs/>
          <w:noProof/>
        </w:rPr>
        <w:drawing>
          <wp:inline distT="0" distB="0" distL="0" distR="0" wp14:anchorId="6CF0A809" wp14:editId="052142E8">
            <wp:extent cx="3528000" cy="2880000"/>
            <wp:effectExtent l="0" t="0" r="317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8000" cy="2880000"/>
                    </a:xfrm>
                    <a:prstGeom prst="rect">
                      <a:avLst/>
                    </a:prstGeom>
                  </pic:spPr>
                </pic:pic>
              </a:graphicData>
            </a:graphic>
          </wp:inline>
        </w:drawing>
      </w:r>
    </w:p>
    <w:p w14:paraId="67F27099" w14:textId="548AC442" w:rsidR="001F787C" w:rsidRPr="001F787C" w:rsidRDefault="00CA6581" w:rsidP="001F787C">
      <w:pPr>
        <w:spacing w:after="120" w:line="360" w:lineRule="auto"/>
        <w:ind w:left="567" w:right="1695"/>
        <w:rPr>
          <w:rFonts w:ascii="Arial" w:hAnsi="Arial" w:cs="Arial"/>
          <w:bCs/>
          <w:lang w:val="en-GB"/>
        </w:rPr>
      </w:pPr>
      <w:proofErr w:type="spellStart"/>
      <w:r>
        <w:rPr>
          <w:rFonts w:ascii="Arial" w:hAnsi="Arial" w:cs="Arial"/>
          <w:bCs/>
          <w:lang w:val="en-GB"/>
        </w:rPr>
        <w:t>Centaya</w:t>
      </w:r>
      <w:proofErr w:type="spellEnd"/>
      <w:r w:rsidR="001F787C" w:rsidRPr="001F787C">
        <w:rPr>
          <w:rFonts w:ascii="Arial" w:hAnsi="Arial" w:cs="Arial"/>
          <w:bCs/>
          <w:lang w:val="en-GB"/>
        </w:rPr>
        <w:t>-C with second distributor head for the simultaneous metering of a second material</w:t>
      </w:r>
    </w:p>
    <w:p w14:paraId="72A50314" w14:textId="41665AAC" w:rsidR="0061248F" w:rsidRPr="001F787C" w:rsidRDefault="0061248F" w:rsidP="00070765">
      <w:pPr>
        <w:spacing w:after="120" w:line="360" w:lineRule="auto"/>
        <w:ind w:left="567" w:right="1695"/>
        <w:rPr>
          <w:rFonts w:ascii="Arial" w:hAnsi="Arial" w:cs="Arial"/>
          <w:bCs/>
          <w:lang w:val="en-GB"/>
        </w:rPr>
      </w:pPr>
    </w:p>
    <w:p w14:paraId="0EB14092" w14:textId="7602A7D0" w:rsidR="00C120E2" w:rsidRPr="001F787C" w:rsidRDefault="00C120E2" w:rsidP="00070765">
      <w:pPr>
        <w:spacing w:after="120" w:line="360" w:lineRule="auto"/>
        <w:ind w:left="567" w:right="1695"/>
        <w:rPr>
          <w:rFonts w:ascii="Arial" w:hAnsi="Arial" w:cs="Arial"/>
          <w:bCs/>
          <w:lang w:val="en-US"/>
        </w:rPr>
      </w:pPr>
    </w:p>
    <w:p w14:paraId="3C926EF5" w14:textId="7BA3D236" w:rsidR="00C120E2" w:rsidRDefault="006D13F7" w:rsidP="00070765">
      <w:pPr>
        <w:spacing w:after="120" w:line="360" w:lineRule="auto"/>
        <w:ind w:left="567" w:right="1695"/>
        <w:rPr>
          <w:rFonts w:ascii="Arial" w:hAnsi="Arial" w:cs="Arial"/>
          <w:bCs/>
        </w:rPr>
      </w:pPr>
      <w:r>
        <w:rPr>
          <w:rFonts w:ascii="Arial" w:hAnsi="Arial" w:cs="Arial"/>
          <w:bCs/>
          <w:noProof/>
        </w:rPr>
        <w:drawing>
          <wp:inline distT="0" distB="0" distL="0" distR="0" wp14:anchorId="56C45D79" wp14:editId="501F2DF2">
            <wp:extent cx="4845600" cy="2880000"/>
            <wp:effectExtent l="0" t="0" r="635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45600" cy="2880000"/>
                    </a:xfrm>
                    <a:prstGeom prst="rect">
                      <a:avLst/>
                    </a:prstGeom>
                  </pic:spPr>
                </pic:pic>
              </a:graphicData>
            </a:graphic>
          </wp:inline>
        </w:drawing>
      </w:r>
    </w:p>
    <w:p w14:paraId="0289246F" w14:textId="77777777" w:rsidR="001F787C" w:rsidRPr="001F787C" w:rsidRDefault="001F787C" w:rsidP="001F787C">
      <w:pPr>
        <w:spacing w:after="120" w:line="360" w:lineRule="auto"/>
        <w:ind w:left="567" w:right="1695"/>
        <w:rPr>
          <w:rFonts w:ascii="Arial" w:hAnsi="Arial" w:cs="Arial"/>
          <w:bCs/>
          <w:lang w:val="en-GB"/>
        </w:rPr>
      </w:pPr>
      <w:r w:rsidRPr="001F787C">
        <w:rPr>
          <w:rFonts w:ascii="Arial" w:hAnsi="Arial" w:cs="Arial"/>
          <w:bCs/>
          <w:lang w:val="en-GB"/>
        </w:rPr>
        <w:t xml:space="preserve">The second material is directed to an additional entry point on the </w:t>
      </w:r>
      <w:proofErr w:type="spellStart"/>
      <w:r w:rsidRPr="001F787C">
        <w:rPr>
          <w:rFonts w:ascii="Arial" w:hAnsi="Arial" w:cs="Arial"/>
          <w:bCs/>
          <w:lang w:val="en-GB"/>
        </w:rPr>
        <w:t>TwinTeC</w:t>
      </w:r>
      <w:proofErr w:type="spellEnd"/>
      <w:r w:rsidRPr="001F787C">
        <w:rPr>
          <w:rFonts w:ascii="Arial" w:hAnsi="Arial" w:cs="Arial"/>
          <w:bCs/>
          <w:lang w:val="en-GB"/>
        </w:rPr>
        <w:t xml:space="preserve"> coulter via a separate conveying section and is placed before the depth guidance roller</w:t>
      </w:r>
    </w:p>
    <w:p w14:paraId="10308703" w14:textId="5446A10A" w:rsidR="00C120E2" w:rsidRPr="001F787C" w:rsidRDefault="00C120E2" w:rsidP="00070765">
      <w:pPr>
        <w:spacing w:after="120" w:line="360" w:lineRule="auto"/>
        <w:ind w:left="567" w:right="1695"/>
        <w:rPr>
          <w:rFonts w:ascii="Arial" w:hAnsi="Arial" w:cs="Arial"/>
          <w:bCs/>
          <w:lang w:val="en-GB"/>
        </w:rPr>
      </w:pPr>
    </w:p>
    <w:p w14:paraId="349CD3A1" w14:textId="7F6F8D8B" w:rsidR="00C120E2" w:rsidRPr="001F787C" w:rsidRDefault="00C120E2" w:rsidP="00070765">
      <w:pPr>
        <w:spacing w:after="120" w:line="360" w:lineRule="auto"/>
        <w:ind w:left="567" w:right="1695"/>
        <w:rPr>
          <w:rFonts w:ascii="Arial" w:hAnsi="Arial" w:cs="Arial"/>
          <w:bCs/>
          <w:lang w:val="en-US"/>
        </w:rPr>
      </w:pPr>
    </w:p>
    <w:p w14:paraId="0AF40C88" w14:textId="6A97FE1A" w:rsidR="00C120E2" w:rsidRPr="00BA61D7" w:rsidRDefault="00C120E2" w:rsidP="00070765">
      <w:pPr>
        <w:spacing w:after="120" w:line="360" w:lineRule="auto"/>
        <w:ind w:left="567" w:right="1695"/>
        <w:rPr>
          <w:rFonts w:ascii="Arial" w:hAnsi="Arial" w:cs="Arial"/>
          <w:b/>
          <w:bCs/>
          <w:lang w:val="en-US"/>
        </w:rPr>
      </w:pPr>
    </w:p>
    <w:p w14:paraId="4447EFB4" w14:textId="4255C9D8" w:rsidR="006D13F7" w:rsidRDefault="00CA6581" w:rsidP="00070765">
      <w:pPr>
        <w:spacing w:after="120" w:line="360" w:lineRule="auto"/>
        <w:ind w:left="567" w:right="1695"/>
        <w:rPr>
          <w:rFonts w:ascii="Arial" w:hAnsi="Arial" w:cs="Arial"/>
          <w:bCs/>
        </w:rPr>
      </w:pPr>
      <w:r>
        <w:rPr>
          <w:rFonts w:ascii="Arial" w:hAnsi="Arial" w:cs="Arial"/>
          <w:bCs/>
          <w:noProof/>
        </w:rPr>
        <w:drawing>
          <wp:inline distT="0" distB="0" distL="0" distR="0" wp14:anchorId="702D2C26" wp14:editId="22B3E796">
            <wp:extent cx="6055200" cy="2880000"/>
            <wp:effectExtent l="0" t="0" r="3175"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55200" cy="2880000"/>
                    </a:xfrm>
                    <a:prstGeom prst="rect">
                      <a:avLst/>
                    </a:prstGeom>
                  </pic:spPr>
                </pic:pic>
              </a:graphicData>
            </a:graphic>
          </wp:inline>
        </w:drawing>
      </w:r>
    </w:p>
    <w:p w14:paraId="0DFE522F" w14:textId="4C12D563" w:rsidR="00C120E2" w:rsidRDefault="00C120E2" w:rsidP="00070765">
      <w:pPr>
        <w:spacing w:after="120" w:line="360" w:lineRule="auto"/>
        <w:ind w:left="567" w:right="1695"/>
        <w:rPr>
          <w:rFonts w:ascii="Arial" w:hAnsi="Arial" w:cs="Arial"/>
          <w:bCs/>
        </w:rPr>
      </w:pPr>
    </w:p>
    <w:p w14:paraId="099108B7" w14:textId="526B0D06" w:rsidR="006D13F7" w:rsidRDefault="006D13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6FDF91E4" wp14:editId="6C0279DE">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2485E49" w14:textId="77777777" w:rsidR="001F787C" w:rsidRPr="001F787C" w:rsidRDefault="001F787C" w:rsidP="001F787C">
      <w:pPr>
        <w:spacing w:after="120" w:line="360" w:lineRule="auto"/>
        <w:ind w:left="567" w:right="1695"/>
        <w:rPr>
          <w:rFonts w:ascii="Arial" w:hAnsi="Arial" w:cs="Arial"/>
          <w:bCs/>
          <w:lang w:val="en-GB"/>
        </w:rPr>
      </w:pPr>
      <w:r w:rsidRPr="001F787C">
        <w:rPr>
          <w:rFonts w:ascii="Arial" w:hAnsi="Arial" w:cs="Arial"/>
          <w:bCs/>
          <w:lang w:val="en-GB"/>
        </w:rPr>
        <w:t>The high-capacity electric metering units are infinitely variable</w:t>
      </w:r>
    </w:p>
    <w:p w14:paraId="4F07A062" w14:textId="7F298424" w:rsidR="00C120E2" w:rsidRPr="001F787C" w:rsidRDefault="00C120E2" w:rsidP="00070765">
      <w:pPr>
        <w:spacing w:after="120" w:line="360" w:lineRule="auto"/>
        <w:ind w:left="567" w:right="1695"/>
        <w:rPr>
          <w:rFonts w:ascii="Arial" w:hAnsi="Arial" w:cs="Arial"/>
          <w:bCs/>
          <w:lang w:val="en-GB"/>
        </w:rPr>
      </w:pPr>
    </w:p>
    <w:p w14:paraId="76BF463F" w14:textId="360A1C08" w:rsidR="00C120E2" w:rsidRPr="001F787C" w:rsidRDefault="00C120E2" w:rsidP="00070765">
      <w:pPr>
        <w:spacing w:after="120" w:line="360" w:lineRule="auto"/>
        <w:ind w:left="567" w:right="1695"/>
        <w:rPr>
          <w:rFonts w:ascii="Arial" w:hAnsi="Arial" w:cs="Arial"/>
          <w:bCs/>
          <w:lang w:val="en-US"/>
        </w:rPr>
      </w:pPr>
    </w:p>
    <w:p w14:paraId="3CE2256A" w14:textId="4AC22A6D" w:rsidR="006D13F7" w:rsidRPr="001F787C" w:rsidRDefault="006D13F7" w:rsidP="00070765">
      <w:pPr>
        <w:spacing w:after="120" w:line="360" w:lineRule="auto"/>
        <w:ind w:left="567" w:right="1695"/>
        <w:rPr>
          <w:rFonts w:ascii="Arial" w:hAnsi="Arial" w:cs="Arial"/>
          <w:bCs/>
          <w:lang w:val="en-US"/>
        </w:rPr>
      </w:pPr>
    </w:p>
    <w:p w14:paraId="15E2660D" w14:textId="2971BB05" w:rsidR="006D13F7" w:rsidRPr="001F787C" w:rsidRDefault="006D13F7" w:rsidP="00070765">
      <w:pPr>
        <w:spacing w:after="120" w:line="360" w:lineRule="auto"/>
        <w:ind w:left="567" w:right="1695"/>
        <w:rPr>
          <w:rFonts w:ascii="Arial" w:hAnsi="Arial" w:cs="Arial"/>
          <w:bCs/>
          <w:lang w:val="en-US"/>
        </w:rPr>
      </w:pPr>
    </w:p>
    <w:p w14:paraId="0B206E6F" w14:textId="65FBE493" w:rsidR="006D13F7" w:rsidRDefault="006D13F7" w:rsidP="00070765">
      <w:pPr>
        <w:spacing w:after="120" w:line="360" w:lineRule="auto"/>
        <w:ind w:left="567" w:right="1695"/>
        <w:rPr>
          <w:rFonts w:ascii="Arial" w:hAnsi="Arial" w:cs="Arial"/>
          <w:bCs/>
        </w:rPr>
      </w:pPr>
      <w:r>
        <w:rPr>
          <w:rFonts w:ascii="Arial" w:hAnsi="Arial" w:cs="Arial"/>
          <w:bCs/>
          <w:noProof/>
        </w:rPr>
        <w:drawing>
          <wp:inline distT="0" distB="0" distL="0" distR="0" wp14:anchorId="0B7CC953" wp14:editId="4E1B5254">
            <wp:extent cx="384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10186EB9" w14:textId="77777777" w:rsidR="001F787C" w:rsidRPr="001F787C" w:rsidRDefault="001F787C" w:rsidP="001F787C">
      <w:pPr>
        <w:spacing w:after="120" w:line="360" w:lineRule="auto"/>
        <w:ind w:left="567" w:right="1695"/>
        <w:rPr>
          <w:rFonts w:ascii="Arial" w:hAnsi="Arial" w:cs="Arial"/>
          <w:bCs/>
          <w:lang w:val="en-GB"/>
        </w:rPr>
      </w:pPr>
      <w:r w:rsidRPr="001F787C">
        <w:rPr>
          <w:rFonts w:ascii="Arial" w:hAnsi="Arial" w:cs="Arial"/>
          <w:bCs/>
          <w:lang w:val="en-GB"/>
        </w:rPr>
        <w:t xml:space="preserve">Several materials can be applied simultaneously with the new AMAZONE </w:t>
      </w:r>
      <w:proofErr w:type="spellStart"/>
      <w:r w:rsidRPr="001F787C">
        <w:rPr>
          <w:rFonts w:ascii="Arial" w:hAnsi="Arial" w:cs="Arial"/>
          <w:bCs/>
          <w:lang w:val="en-GB"/>
        </w:rPr>
        <w:t>Centaya</w:t>
      </w:r>
      <w:proofErr w:type="spellEnd"/>
      <w:r w:rsidRPr="001F787C">
        <w:rPr>
          <w:rFonts w:ascii="Arial" w:hAnsi="Arial" w:cs="Arial"/>
          <w:bCs/>
          <w:lang w:val="en-GB"/>
        </w:rPr>
        <w:t xml:space="preserve">-C Super using the </w:t>
      </w:r>
      <w:proofErr w:type="gramStart"/>
      <w:r w:rsidRPr="001F787C">
        <w:rPr>
          <w:rFonts w:ascii="Arial" w:hAnsi="Arial" w:cs="Arial"/>
          <w:bCs/>
          <w:lang w:val="en-GB"/>
        </w:rPr>
        <w:t>2,000 l</w:t>
      </w:r>
      <w:proofErr w:type="gramEnd"/>
      <w:r w:rsidRPr="001F787C">
        <w:rPr>
          <w:rFonts w:ascii="Arial" w:hAnsi="Arial" w:cs="Arial"/>
          <w:bCs/>
          <w:lang w:val="en-GB"/>
        </w:rPr>
        <w:t xml:space="preserve"> twin-chamber hopper.</w:t>
      </w:r>
    </w:p>
    <w:p w14:paraId="3531EF12" w14:textId="57AD58B5" w:rsidR="00921FE3" w:rsidRPr="001F787C" w:rsidRDefault="00921FE3" w:rsidP="00C120E2">
      <w:pPr>
        <w:spacing w:after="120" w:line="360" w:lineRule="auto"/>
        <w:ind w:right="1695"/>
        <w:rPr>
          <w:rFonts w:ascii="Arial" w:hAnsi="Arial" w:cs="Arial"/>
          <w:bCs/>
          <w:lang w:val="en-GB"/>
        </w:rPr>
      </w:pPr>
    </w:p>
    <w:p w14:paraId="027EFE74" w14:textId="093244B3" w:rsidR="00921FE3" w:rsidRPr="001F787C" w:rsidRDefault="00921FE3" w:rsidP="00070765">
      <w:pPr>
        <w:spacing w:after="120" w:line="360" w:lineRule="auto"/>
        <w:ind w:left="567" w:right="1695"/>
        <w:rPr>
          <w:rFonts w:ascii="Arial" w:hAnsi="Arial" w:cs="Arial"/>
          <w:bCs/>
          <w:lang w:val="en-US"/>
        </w:rPr>
      </w:pPr>
    </w:p>
    <w:p w14:paraId="68927A70" w14:textId="443FCD90" w:rsidR="007079EE" w:rsidRDefault="00AB1F62" w:rsidP="002E2BD4">
      <w:pPr>
        <w:spacing w:after="120" w:line="360" w:lineRule="auto"/>
        <w:ind w:left="567" w:right="1695"/>
        <w:rPr>
          <w:rFonts w:ascii="Arial" w:hAnsi="Arial" w:cs="Arial"/>
          <w:bCs/>
        </w:rPr>
      </w:pPr>
      <w:r>
        <w:rPr>
          <w:rFonts w:ascii="Arial" w:hAnsi="Arial" w:cs="Arial"/>
          <w:bCs/>
          <w:noProof/>
        </w:rPr>
        <w:drawing>
          <wp:inline distT="0" distB="0" distL="0" distR="0" wp14:anchorId="7D989A9D" wp14:editId="74E7222B">
            <wp:extent cx="60840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84000" cy="2880000"/>
                    </a:xfrm>
                    <a:prstGeom prst="rect">
                      <a:avLst/>
                    </a:prstGeom>
                  </pic:spPr>
                </pic:pic>
              </a:graphicData>
            </a:graphic>
          </wp:inline>
        </w:drawing>
      </w:r>
    </w:p>
    <w:p w14:paraId="5EBDF709" w14:textId="38BAF96C" w:rsidR="002E2BD4" w:rsidRDefault="002E2BD4" w:rsidP="002E2BD4">
      <w:pPr>
        <w:spacing w:after="120" w:line="360" w:lineRule="auto"/>
        <w:ind w:left="567" w:right="1695"/>
        <w:rPr>
          <w:rFonts w:ascii="Arial" w:hAnsi="Arial" w:cs="Arial"/>
          <w:bCs/>
        </w:rPr>
      </w:pPr>
    </w:p>
    <w:p w14:paraId="77FF8650" w14:textId="20D0A25A" w:rsidR="002E2BD4" w:rsidRDefault="002E2BD4" w:rsidP="002E2BD4">
      <w:pPr>
        <w:spacing w:after="120" w:line="360" w:lineRule="auto"/>
        <w:ind w:left="567" w:right="1695"/>
        <w:rPr>
          <w:rFonts w:ascii="Arial" w:hAnsi="Arial" w:cs="Arial"/>
          <w:bCs/>
        </w:rPr>
      </w:pPr>
    </w:p>
    <w:p w14:paraId="7EF110C3" w14:textId="011D0048" w:rsidR="002E2BD4" w:rsidRDefault="002E2BD4" w:rsidP="002E2BD4">
      <w:pPr>
        <w:spacing w:after="120" w:line="360" w:lineRule="auto"/>
        <w:ind w:left="567" w:right="1695"/>
        <w:rPr>
          <w:rFonts w:ascii="Arial" w:hAnsi="Arial" w:cs="Arial"/>
          <w:bCs/>
        </w:rPr>
      </w:pPr>
    </w:p>
    <w:p w14:paraId="50A06BF3" w14:textId="355A200C" w:rsidR="002E2BD4" w:rsidRDefault="002E2BD4" w:rsidP="002E2BD4">
      <w:pPr>
        <w:spacing w:after="120" w:line="360" w:lineRule="auto"/>
        <w:ind w:left="567" w:right="1695"/>
        <w:rPr>
          <w:rFonts w:ascii="Arial" w:hAnsi="Arial" w:cs="Arial"/>
          <w:bCs/>
        </w:rPr>
      </w:pPr>
    </w:p>
    <w:p w14:paraId="5D8C3856" w14:textId="77777777" w:rsidR="002E2BD4" w:rsidRDefault="002E2BD4" w:rsidP="002E2BD4">
      <w:pPr>
        <w:spacing w:after="120" w:line="360" w:lineRule="auto"/>
        <w:ind w:left="567" w:right="1695"/>
        <w:rPr>
          <w:rFonts w:ascii="Arial" w:hAnsi="Arial" w:cs="Arial"/>
          <w:b/>
          <w:bCs/>
          <w:color w:val="808080" w:themeColor="background1" w:themeShade="80"/>
          <w:sz w:val="20"/>
          <w:szCs w:val="20"/>
        </w:rPr>
      </w:pPr>
    </w:p>
    <w:p w14:paraId="244F7D97" w14:textId="77777777" w:rsidR="002A1EFB" w:rsidRPr="002A1EFB" w:rsidRDefault="002A1EFB" w:rsidP="002A1EFB">
      <w:pPr>
        <w:tabs>
          <w:tab w:val="left" w:pos="3550"/>
        </w:tabs>
        <w:spacing w:line="360" w:lineRule="auto"/>
        <w:ind w:left="567" w:right="2262"/>
        <w:rPr>
          <w:rFonts w:ascii="Arial" w:hAnsi="Arial" w:cs="Arial"/>
          <w:bCs/>
          <w:color w:val="808080" w:themeColor="background1" w:themeShade="80"/>
          <w:sz w:val="20"/>
          <w:szCs w:val="20"/>
          <w:lang w:val="en-US"/>
        </w:rPr>
      </w:pPr>
      <w:r w:rsidRPr="002A1EFB">
        <w:rPr>
          <w:rFonts w:ascii="Arial" w:hAnsi="Arial" w:cs="Arial"/>
          <w:bCs/>
          <w:color w:val="808080" w:themeColor="background1" w:themeShade="80"/>
          <w:sz w:val="20"/>
          <w:szCs w:val="20"/>
          <w:lang w:val="en-US"/>
        </w:rPr>
        <w:t xml:space="preserve">Illustrations, </w:t>
      </w:r>
      <w:proofErr w:type="gramStart"/>
      <w:r w:rsidRPr="002A1EFB">
        <w:rPr>
          <w:rFonts w:ascii="Arial" w:hAnsi="Arial" w:cs="Arial"/>
          <w:bCs/>
          <w:color w:val="808080" w:themeColor="background1" w:themeShade="80"/>
          <w:sz w:val="20"/>
          <w:szCs w:val="20"/>
          <w:lang w:val="en-US"/>
        </w:rPr>
        <w:t>content</w:t>
      </w:r>
      <w:proofErr w:type="gramEnd"/>
      <w:r w:rsidRPr="002A1EFB">
        <w:rPr>
          <w:rFonts w:ascii="Arial" w:hAnsi="Arial" w:cs="Arial"/>
          <w:bCs/>
          <w:color w:val="808080" w:themeColor="background1" w:themeShade="80"/>
          <w:sz w:val="20"/>
          <w:szCs w:val="20"/>
          <w:lang w:val="en-US"/>
        </w:rPr>
        <w:t xml:space="preserve"> and technical data are not binding and may differ depending on the level of equipment. </w:t>
      </w:r>
      <w:proofErr w:type="gramStart"/>
      <w:r w:rsidRPr="002A1EFB">
        <w:rPr>
          <w:rFonts w:ascii="Arial" w:hAnsi="Arial" w:cs="Arial"/>
          <w:bCs/>
          <w:color w:val="808080" w:themeColor="background1" w:themeShade="80"/>
          <w:sz w:val="20"/>
          <w:szCs w:val="20"/>
          <w:lang w:val="en-US"/>
        </w:rPr>
        <w:t>Country-specific road</w:t>
      </w:r>
      <w:proofErr w:type="gramEnd"/>
      <w:r w:rsidRPr="002A1EFB">
        <w:rPr>
          <w:rFonts w:ascii="Arial" w:hAnsi="Arial" w:cs="Arial"/>
          <w:bCs/>
          <w:color w:val="808080" w:themeColor="background1" w:themeShade="80"/>
          <w:sz w:val="20"/>
          <w:szCs w:val="20"/>
          <w:lang w:val="en-US"/>
        </w:rPr>
        <w:t xml:space="preserve"> traffic regulations apply and must be complied with, meaning that special approval may be required. The permissible axle </w:t>
      </w:r>
      <w:proofErr w:type="gramStart"/>
      <w:r w:rsidRPr="002A1EFB">
        <w:rPr>
          <w:rFonts w:ascii="Arial" w:hAnsi="Arial" w:cs="Arial"/>
          <w:bCs/>
          <w:color w:val="808080" w:themeColor="background1" w:themeShade="80"/>
          <w:sz w:val="20"/>
          <w:szCs w:val="20"/>
          <w:lang w:val="en-US"/>
        </w:rPr>
        <w:t>loads</w:t>
      </w:r>
      <w:proofErr w:type="gramEnd"/>
      <w:r w:rsidRPr="002A1EFB">
        <w:rPr>
          <w:rFonts w:ascii="Arial" w:hAnsi="Arial" w:cs="Arial"/>
          <w:bCs/>
          <w:color w:val="808080" w:themeColor="background1" w:themeShade="80"/>
          <w:sz w:val="20"/>
          <w:szCs w:val="20"/>
          <w:lang w:val="en-US"/>
        </w:rPr>
        <w:t xml:space="preserve"> and total weights of the tractor have to be checked. Not all the listed combination options are possible with all tractor manufacturers.</w:t>
      </w:r>
    </w:p>
    <w:p w14:paraId="1891D28A" w14:textId="77777777" w:rsidR="002A1EFB" w:rsidRPr="002A1EFB" w:rsidRDefault="002A1EFB" w:rsidP="002A1EFB">
      <w:pPr>
        <w:tabs>
          <w:tab w:val="left" w:pos="3550"/>
        </w:tabs>
        <w:spacing w:line="360" w:lineRule="auto"/>
        <w:ind w:left="567" w:right="2262"/>
        <w:rPr>
          <w:rFonts w:ascii="Arial" w:hAnsi="Arial" w:cs="Arial"/>
          <w:b/>
          <w:bCs/>
          <w:color w:val="808080" w:themeColor="background1" w:themeShade="80"/>
          <w:sz w:val="20"/>
          <w:szCs w:val="20"/>
          <w:lang w:val="en-US"/>
        </w:rPr>
      </w:pPr>
    </w:p>
    <w:p w14:paraId="2D46B2F4" w14:textId="77777777" w:rsidR="002A1EFB" w:rsidRPr="002A1EFB" w:rsidRDefault="002A1EFB" w:rsidP="002A1EFB">
      <w:pPr>
        <w:tabs>
          <w:tab w:val="left" w:pos="3550"/>
        </w:tabs>
        <w:spacing w:line="360" w:lineRule="auto"/>
        <w:ind w:left="567" w:right="2262"/>
        <w:rPr>
          <w:rFonts w:ascii="Arial" w:hAnsi="Arial" w:cs="Arial"/>
          <w:b/>
          <w:bCs/>
          <w:color w:val="808080" w:themeColor="background1" w:themeShade="80"/>
          <w:sz w:val="20"/>
          <w:szCs w:val="20"/>
          <w:lang w:val="en-US"/>
        </w:rPr>
      </w:pPr>
    </w:p>
    <w:p w14:paraId="0C4C04AC" w14:textId="77777777" w:rsidR="002A1EFB" w:rsidRPr="002A1EFB" w:rsidRDefault="002A1EFB" w:rsidP="002A1EFB">
      <w:pPr>
        <w:tabs>
          <w:tab w:val="left" w:pos="3550"/>
        </w:tabs>
        <w:spacing w:line="360" w:lineRule="auto"/>
        <w:ind w:left="567" w:right="2262"/>
        <w:rPr>
          <w:rFonts w:ascii="Arial" w:hAnsi="Arial" w:cs="Arial"/>
          <w:b/>
          <w:bCs/>
          <w:color w:val="808080" w:themeColor="background1" w:themeShade="80"/>
          <w:sz w:val="20"/>
          <w:szCs w:val="20"/>
          <w:lang w:val="en-US"/>
        </w:rPr>
      </w:pPr>
      <w:r w:rsidRPr="002A1EFB">
        <w:rPr>
          <w:rFonts w:ascii="Arial" w:hAnsi="Arial" w:cs="Arial"/>
          <w:b/>
          <w:bCs/>
          <w:color w:val="808080" w:themeColor="background1" w:themeShade="80"/>
          <w:sz w:val="20"/>
          <w:szCs w:val="20"/>
          <w:lang w:val="en-US"/>
        </w:rPr>
        <w:t>About AMAZONE</w:t>
      </w:r>
    </w:p>
    <w:p w14:paraId="5B5BFFA4" w14:textId="77777777" w:rsidR="002A1EFB" w:rsidRPr="002A1EFB" w:rsidRDefault="002A1EFB" w:rsidP="002A1EFB">
      <w:pPr>
        <w:tabs>
          <w:tab w:val="left" w:pos="3550"/>
        </w:tabs>
        <w:spacing w:line="360" w:lineRule="auto"/>
        <w:ind w:left="567" w:right="2262"/>
        <w:rPr>
          <w:rFonts w:ascii="Arial" w:hAnsi="Arial" w:cs="Arial"/>
          <w:bCs/>
          <w:color w:val="808080" w:themeColor="background1" w:themeShade="80"/>
          <w:sz w:val="20"/>
          <w:szCs w:val="20"/>
        </w:rPr>
      </w:pPr>
      <w:r w:rsidRPr="002A1EFB">
        <w:rPr>
          <w:rFonts w:ascii="Arial" w:hAnsi="Arial" w:cs="Arial"/>
          <w:bCs/>
          <w:color w:val="808080" w:themeColor="background1" w:themeShade="80"/>
          <w:sz w:val="20"/>
          <w:szCs w:val="20"/>
          <w:lang w:val="en-US"/>
        </w:rPr>
        <w:t xml:space="preserve">AMAZONEN-WERKE H. DREYER SE &amp; Co. KG is based in </w:t>
      </w:r>
      <w:proofErr w:type="spellStart"/>
      <w:r w:rsidRPr="002A1EFB">
        <w:rPr>
          <w:rFonts w:ascii="Arial" w:hAnsi="Arial" w:cs="Arial"/>
          <w:bCs/>
          <w:color w:val="808080" w:themeColor="background1" w:themeShade="80"/>
          <w:sz w:val="20"/>
          <w:szCs w:val="20"/>
          <w:lang w:val="en-US"/>
        </w:rPr>
        <w:t>Hasbergen-Gaste</w:t>
      </w:r>
      <w:proofErr w:type="spellEnd"/>
      <w:r w:rsidRPr="002A1EFB">
        <w:rPr>
          <w:rFonts w:ascii="Arial" w:hAnsi="Arial" w:cs="Arial"/>
          <w:bCs/>
          <w:color w:val="808080" w:themeColor="background1" w:themeShade="80"/>
          <w:sz w:val="20"/>
          <w:szCs w:val="20"/>
          <w:lang w:val="en-US"/>
        </w:rPr>
        <w:t xml:space="preserve"> in Germany and manufactures agricultural and </w:t>
      </w:r>
      <w:proofErr w:type="spellStart"/>
      <w:r w:rsidRPr="002A1EFB">
        <w:rPr>
          <w:rFonts w:ascii="Arial" w:hAnsi="Arial" w:cs="Arial"/>
          <w:bCs/>
          <w:color w:val="808080" w:themeColor="background1" w:themeShade="80"/>
          <w:sz w:val="20"/>
          <w:szCs w:val="20"/>
          <w:lang w:val="en-US"/>
        </w:rPr>
        <w:t>groundcare</w:t>
      </w:r>
      <w:proofErr w:type="spellEnd"/>
      <w:r w:rsidRPr="002A1EFB">
        <w:rPr>
          <w:rFonts w:ascii="Arial" w:hAnsi="Arial" w:cs="Arial"/>
          <w:bCs/>
          <w:color w:val="808080" w:themeColor="background1" w:themeShade="80"/>
          <w:sz w:val="20"/>
          <w:szCs w:val="20"/>
          <w:lang w:val="en-US"/>
        </w:rPr>
        <w:t xml:space="preserve"> machinery. The owner-managed company employs around 2000 people at nine different production sites. The agricultural machinery range includes soil tillage implements, seed drills, </w:t>
      </w:r>
      <w:proofErr w:type="spellStart"/>
      <w:r w:rsidRPr="002A1EFB">
        <w:rPr>
          <w:rFonts w:ascii="Arial" w:hAnsi="Arial" w:cs="Arial"/>
          <w:bCs/>
          <w:color w:val="808080" w:themeColor="background1" w:themeShade="80"/>
          <w:sz w:val="20"/>
          <w:szCs w:val="20"/>
          <w:lang w:val="en-US"/>
        </w:rPr>
        <w:t>fertiliser</w:t>
      </w:r>
      <w:proofErr w:type="spellEnd"/>
      <w:r w:rsidRPr="002A1EFB">
        <w:rPr>
          <w:rFonts w:ascii="Arial" w:hAnsi="Arial" w:cs="Arial"/>
          <w:bCs/>
          <w:color w:val="808080" w:themeColor="background1" w:themeShade="80"/>
          <w:sz w:val="20"/>
          <w:szCs w:val="20"/>
          <w:lang w:val="en-US"/>
        </w:rPr>
        <w:t xml:space="preserve"> spreaders and crop protection equipment. SCHMOTZER </w:t>
      </w:r>
      <w:proofErr w:type="spellStart"/>
      <w:r w:rsidRPr="002A1EFB">
        <w:rPr>
          <w:rFonts w:ascii="Arial" w:hAnsi="Arial" w:cs="Arial"/>
          <w:bCs/>
          <w:color w:val="808080" w:themeColor="background1" w:themeShade="80"/>
          <w:sz w:val="20"/>
          <w:szCs w:val="20"/>
          <w:lang w:val="en-US"/>
        </w:rPr>
        <w:t>Hacktechnik</w:t>
      </w:r>
      <w:proofErr w:type="spellEnd"/>
      <w:r w:rsidRPr="002A1EFB">
        <w:rPr>
          <w:rFonts w:ascii="Arial" w:hAnsi="Arial" w:cs="Arial"/>
          <w:bCs/>
          <w:color w:val="808080" w:themeColor="background1" w:themeShade="80"/>
          <w:sz w:val="20"/>
          <w:szCs w:val="20"/>
          <w:lang w:val="en-US"/>
        </w:rPr>
        <w:t xml:space="preserve"> has been part of the AMAZONE Group since 2019. Based on these core competencies, AMAZONE is now the specialist for intelligent crop production in agriculture. </w:t>
      </w:r>
      <w:r w:rsidRPr="002A1EFB">
        <w:rPr>
          <w:rFonts w:ascii="Arial" w:hAnsi="Arial" w:cs="Arial"/>
          <w:bCs/>
          <w:color w:val="808080" w:themeColor="background1" w:themeShade="80"/>
          <w:sz w:val="20"/>
          <w:szCs w:val="20"/>
        </w:rPr>
        <w:t xml:space="preserve">Further </w:t>
      </w:r>
      <w:proofErr w:type="spellStart"/>
      <w:r w:rsidRPr="002A1EFB">
        <w:rPr>
          <w:rFonts w:ascii="Arial" w:hAnsi="Arial" w:cs="Arial"/>
          <w:bCs/>
          <w:color w:val="808080" w:themeColor="background1" w:themeShade="80"/>
          <w:sz w:val="20"/>
          <w:szCs w:val="20"/>
        </w:rPr>
        <w:t>information</w:t>
      </w:r>
      <w:proofErr w:type="spellEnd"/>
      <w:r w:rsidRPr="002A1EFB">
        <w:rPr>
          <w:rFonts w:ascii="Arial" w:hAnsi="Arial" w:cs="Arial"/>
          <w:bCs/>
          <w:color w:val="808080" w:themeColor="background1" w:themeShade="80"/>
          <w:sz w:val="20"/>
          <w:szCs w:val="20"/>
        </w:rPr>
        <w:t xml:space="preserve">: </w:t>
      </w:r>
      <w:hyperlink r:id="rId14" w:history="1">
        <w:r w:rsidRPr="002A1EFB">
          <w:rPr>
            <w:rStyle w:val="Hyperlink"/>
            <w:rFonts w:ascii="Arial" w:hAnsi="Arial" w:cs="Arial"/>
            <w:bCs/>
            <w:sz w:val="20"/>
            <w:szCs w:val="20"/>
          </w:rPr>
          <w:t>www.amazone.net</w:t>
        </w:r>
      </w:hyperlink>
    </w:p>
    <w:p w14:paraId="252D2E94" w14:textId="0AA5CDF8" w:rsidR="00A46482" w:rsidRDefault="002A1EFB" w:rsidP="001F787C">
      <w:pPr>
        <w:tabs>
          <w:tab w:val="left" w:pos="3550"/>
        </w:tabs>
        <w:spacing w:line="360" w:lineRule="auto"/>
        <w:ind w:left="567" w:right="2262"/>
        <w:rPr>
          <w:rFonts w:ascii="Arial" w:hAnsi="Arial" w:cs="Arial"/>
          <w:bCs/>
          <w:color w:val="808080" w:themeColor="background1" w:themeShade="80"/>
          <w:sz w:val="20"/>
          <w:szCs w:val="20"/>
        </w:rPr>
      </w:pPr>
      <w:r w:rsidRPr="002A1EFB">
        <w:rPr>
          <w:rFonts w:ascii="Arial" w:hAnsi="Arial" w:cs="Arial"/>
          <w:bCs/>
          <w:noProof/>
          <w:color w:val="808080" w:themeColor="background1" w:themeShade="80"/>
          <w:sz w:val="20"/>
          <w:szCs w:val="20"/>
        </w:rPr>
        <w:drawing>
          <wp:inline distT="0" distB="0" distL="0" distR="0" wp14:anchorId="71249F37" wp14:editId="24FD0156">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A1EFB">
        <w:rPr>
          <w:rFonts w:ascii="Arial" w:hAnsi="Arial" w:cs="Arial"/>
          <w:bCs/>
          <w:color w:val="808080" w:themeColor="background1" w:themeShade="80"/>
          <w:sz w:val="20"/>
          <w:szCs w:val="20"/>
        </w:rPr>
        <w:t> </w:t>
      </w:r>
      <w:r w:rsidRPr="002A1EFB">
        <w:rPr>
          <w:rFonts w:ascii="Arial" w:hAnsi="Arial" w:cs="Arial"/>
          <w:bCs/>
          <w:noProof/>
          <w:color w:val="808080" w:themeColor="background1" w:themeShade="80"/>
          <w:sz w:val="20"/>
          <w:szCs w:val="20"/>
        </w:rPr>
        <w:drawing>
          <wp:inline distT="0" distB="0" distL="0" distR="0" wp14:anchorId="1928F991" wp14:editId="53FAE16D">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A1EFB">
        <w:rPr>
          <w:rFonts w:ascii="Arial" w:hAnsi="Arial" w:cs="Arial"/>
          <w:bCs/>
          <w:color w:val="808080" w:themeColor="background1" w:themeShade="80"/>
          <w:sz w:val="20"/>
          <w:szCs w:val="20"/>
        </w:rPr>
        <w:t> </w:t>
      </w:r>
      <w:r w:rsidRPr="002A1EFB">
        <w:rPr>
          <w:rFonts w:ascii="Arial" w:hAnsi="Arial" w:cs="Arial"/>
          <w:bCs/>
          <w:noProof/>
          <w:color w:val="808080" w:themeColor="background1" w:themeShade="80"/>
          <w:sz w:val="20"/>
          <w:szCs w:val="20"/>
        </w:rPr>
        <w:drawing>
          <wp:inline distT="0" distB="0" distL="0" distR="0" wp14:anchorId="5AA703D0" wp14:editId="544A2E02">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A1EFB">
        <w:rPr>
          <w:rFonts w:ascii="Arial" w:hAnsi="Arial" w:cs="Arial"/>
          <w:bCs/>
          <w:color w:val="808080" w:themeColor="background1" w:themeShade="80"/>
          <w:sz w:val="20"/>
          <w:szCs w:val="20"/>
        </w:rPr>
        <w:t> </w:t>
      </w:r>
      <w:r w:rsidRPr="002A1EFB">
        <w:rPr>
          <w:rFonts w:ascii="Arial" w:hAnsi="Arial" w:cs="Arial"/>
          <w:bCs/>
          <w:noProof/>
          <w:color w:val="808080" w:themeColor="background1" w:themeShade="80"/>
          <w:sz w:val="20"/>
          <w:szCs w:val="20"/>
        </w:rPr>
        <w:drawing>
          <wp:inline distT="0" distB="0" distL="0" distR="0" wp14:anchorId="3CD3EEB3" wp14:editId="2979190D">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A1EFB">
        <w:rPr>
          <w:rFonts w:ascii="Arial" w:hAnsi="Arial" w:cs="Arial"/>
          <w:bCs/>
          <w:color w:val="808080" w:themeColor="background1" w:themeShade="80"/>
          <w:sz w:val="20"/>
          <w:szCs w:val="20"/>
        </w:rPr>
        <w:t> </w:t>
      </w:r>
      <w:r w:rsidRPr="002A1EFB">
        <w:rPr>
          <w:rFonts w:ascii="Arial" w:hAnsi="Arial" w:cs="Arial"/>
          <w:bCs/>
          <w:noProof/>
          <w:color w:val="808080" w:themeColor="background1" w:themeShade="80"/>
          <w:sz w:val="20"/>
          <w:szCs w:val="20"/>
        </w:rPr>
        <w:drawing>
          <wp:inline distT="0" distB="0" distL="0" distR="0" wp14:anchorId="25C2E144" wp14:editId="4048A38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2A1EFB">
        <w:rPr>
          <w:rFonts w:ascii="Arial" w:hAnsi="Arial" w:cs="Arial"/>
          <w:bCs/>
          <w:color w:val="808080" w:themeColor="background1" w:themeShade="80"/>
          <w:sz w:val="20"/>
          <w:szCs w:val="20"/>
        </w:rP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B4D75" w14:textId="77777777" w:rsidR="00DC5917" w:rsidRDefault="00DC5917">
      <w:r>
        <w:separator/>
      </w:r>
    </w:p>
  </w:endnote>
  <w:endnote w:type="continuationSeparator" w:id="0">
    <w:p w14:paraId="65A831BF" w14:textId="77777777" w:rsidR="00DC5917" w:rsidRDefault="00DC59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58C2C56" w14:textId="77777777" w:rsidR="00BA61D7" w:rsidRPr="00BA61D7" w:rsidRDefault="00BA61D7" w:rsidP="00BA61D7">
                          <w:pPr>
                            <w:ind w:right="57"/>
                            <w:jc w:val="right"/>
                            <w:rPr>
                              <w:rFonts w:ascii="Arial" w:hAnsi="Arial"/>
                              <w:sz w:val="20"/>
                              <w:lang w:val="en-GB"/>
                            </w:rPr>
                          </w:pPr>
                          <w:r w:rsidRPr="00BA61D7">
                            <w:rPr>
                              <w:rFonts w:ascii="Arial" w:hAnsi="Arial"/>
                              <w:sz w:val="20"/>
                              <w:lang w:val="en-GB"/>
                            </w:rPr>
                            <w:t xml:space="preserve">Page </w:t>
                          </w:r>
                          <w:r w:rsidRPr="00BA61D7">
                            <w:rPr>
                              <w:rFonts w:ascii="Arial" w:hAnsi="Arial"/>
                              <w:sz w:val="20"/>
                              <w:lang w:val="en-GB"/>
                            </w:rPr>
                            <w:fldChar w:fldCharType="begin"/>
                          </w:r>
                          <w:r w:rsidRPr="00BA61D7">
                            <w:rPr>
                              <w:rFonts w:ascii="Arial" w:hAnsi="Arial"/>
                              <w:sz w:val="20"/>
                              <w:lang w:val="en-GB"/>
                            </w:rPr>
                            <w:instrText xml:space="preserve"> PAGE </w:instrText>
                          </w:r>
                          <w:r w:rsidRPr="00BA61D7">
                            <w:rPr>
                              <w:rFonts w:ascii="Arial" w:hAnsi="Arial"/>
                              <w:sz w:val="20"/>
                              <w:lang w:val="en-GB"/>
                            </w:rPr>
                            <w:fldChar w:fldCharType="separate"/>
                          </w:r>
                          <w:r w:rsidRPr="00BA61D7">
                            <w:rPr>
                              <w:rFonts w:ascii="Arial" w:hAnsi="Arial"/>
                              <w:sz w:val="20"/>
                              <w:lang w:val="en-GB"/>
                            </w:rPr>
                            <w:t>1</w:t>
                          </w:r>
                          <w:r w:rsidRPr="00BA61D7">
                            <w:rPr>
                              <w:rFonts w:ascii="Arial" w:hAnsi="Arial"/>
                              <w:sz w:val="20"/>
                              <w:lang w:val="en-GB"/>
                            </w:rPr>
                            <w:fldChar w:fldCharType="end"/>
                          </w:r>
                          <w:r w:rsidRPr="00BA61D7">
                            <w:rPr>
                              <w:rFonts w:ascii="Arial" w:hAnsi="Arial"/>
                              <w:sz w:val="20"/>
                              <w:lang w:val="en-GB"/>
                            </w:rPr>
                            <w:t xml:space="preserve"> of </w:t>
                          </w:r>
                          <w:r w:rsidRPr="00BA61D7">
                            <w:rPr>
                              <w:rFonts w:ascii="Arial" w:hAnsi="Arial"/>
                              <w:sz w:val="20"/>
                              <w:lang w:val="en-GB"/>
                            </w:rPr>
                            <w:fldChar w:fldCharType="begin"/>
                          </w:r>
                          <w:r w:rsidRPr="00BA61D7">
                            <w:rPr>
                              <w:rFonts w:ascii="Arial" w:hAnsi="Arial"/>
                              <w:sz w:val="20"/>
                              <w:lang w:val="en-GB"/>
                            </w:rPr>
                            <w:instrText xml:space="preserve"> NUMPAGES </w:instrText>
                          </w:r>
                          <w:r w:rsidRPr="00BA61D7">
                            <w:rPr>
                              <w:rFonts w:ascii="Arial" w:hAnsi="Arial"/>
                              <w:sz w:val="20"/>
                              <w:lang w:val="en-GB"/>
                            </w:rPr>
                            <w:fldChar w:fldCharType="separate"/>
                          </w:r>
                          <w:r w:rsidRPr="00BA61D7">
                            <w:rPr>
                              <w:rFonts w:ascii="Arial" w:hAnsi="Arial"/>
                              <w:sz w:val="20"/>
                              <w:lang w:val="en-GB"/>
                            </w:rPr>
                            <w:t>6</w:t>
                          </w:r>
                          <w:r w:rsidRPr="00BA61D7">
                            <w:rPr>
                              <w:rFonts w:ascii="Arial" w:hAnsi="Arial"/>
                              <w:sz w:val="20"/>
                              <w:lang w:val="en-GB"/>
                            </w:rPr>
                            <w:fldChar w:fldCharType="end"/>
                          </w:r>
                        </w:p>
                        <w:p w14:paraId="1D8DC8AB" w14:textId="77777777" w:rsidR="00BA61D7" w:rsidRPr="00BA61D7" w:rsidRDefault="00BA61D7" w:rsidP="00BA61D7">
                          <w:pPr>
                            <w:ind w:right="57"/>
                            <w:jc w:val="right"/>
                            <w:rPr>
                              <w:rFonts w:ascii="Arial" w:hAnsi="Arial"/>
                              <w:sz w:val="20"/>
                              <w:lang w:val="en-GB"/>
                            </w:rPr>
                          </w:pPr>
                        </w:p>
                        <w:p w14:paraId="0F7BE6E8" w14:textId="3F9FEE77" w:rsidR="005E0980" w:rsidRPr="00BA61D7" w:rsidRDefault="005E0980" w:rsidP="006F7755">
                          <w:pPr>
                            <w:ind w:right="57"/>
                            <w:jc w:val="right"/>
                            <w:rPr>
                              <w:rFonts w:ascii="Arial" w:hAnsi="Arial"/>
                              <w:sz w:val="20"/>
                              <w:lang w:val="en-GB"/>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758C2C56" w14:textId="77777777" w:rsidR="00BA61D7" w:rsidRPr="00BA61D7" w:rsidRDefault="00BA61D7" w:rsidP="00BA61D7">
                    <w:pPr>
                      <w:ind w:right="57"/>
                      <w:jc w:val="right"/>
                      <w:rPr>
                        <w:rFonts w:ascii="Arial" w:hAnsi="Arial"/>
                        <w:sz w:val="20"/>
                        <w:lang w:val="en-GB"/>
                      </w:rPr>
                    </w:pPr>
                    <w:r w:rsidRPr="00BA61D7">
                      <w:rPr>
                        <w:rFonts w:ascii="Arial" w:hAnsi="Arial"/>
                        <w:sz w:val="20"/>
                        <w:lang w:val="en-GB"/>
                      </w:rPr>
                      <w:t xml:space="preserve">Page </w:t>
                    </w:r>
                    <w:r w:rsidRPr="00BA61D7">
                      <w:rPr>
                        <w:rFonts w:ascii="Arial" w:hAnsi="Arial"/>
                        <w:sz w:val="20"/>
                        <w:lang w:val="en-GB"/>
                      </w:rPr>
                      <w:fldChar w:fldCharType="begin"/>
                    </w:r>
                    <w:r w:rsidRPr="00BA61D7">
                      <w:rPr>
                        <w:rFonts w:ascii="Arial" w:hAnsi="Arial"/>
                        <w:sz w:val="20"/>
                        <w:lang w:val="en-GB"/>
                      </w:rPr>
                      <w:instrText xml:space="preserve"> PAGE </w:instrText>
                    </w:r>
                    <w:r w:rsidRPr="00BA61D7">
                      <w:rPr>
                        <w:rFonts w:ascii="Arial" w:hAnsi="Arial"/>
                        <w:sz w:val="20"/>
                        <w:lang w:val="en-GB"/>
                      </w:rPr>
                      <w:fldChar w:fldCharType="separate"/>
                    </w:r>
                    <w:r w:rsidRPr="00BA61D7">
                      <w:rPr>
                        <w:rFonts w:ascii="Arial" w:hAnsi="Arial"/>
                        <w:sz w:val="20"/>
                        <w:lang w:val="en-GB"/>
                      </w:rPr>
                      <w:t>1</w:t>
                    </w:r>
                    <w:r w:rsidRPr="00BA61D7">
                      <w:rPr>
                        <w:rFonts w:ascii="Arial" w:hAnsi="Arial"/>
                        <w:sz w:val="20"/>
                        <w:lang w:val="en-GB"/>
                      </w:rPr>
                      <w:fldChar w:fldCharType="end"/>
                    </w:r>
                    <w:r w:rsidRPr="00BA61D7">
                      <w:rPr>
                        <w:rFonts w:ascii="Arial" w:hAnsi="Arial"/>
                        <w:sz w:val="20"/>
                        <w:lang w:val="en-GB"/>
                      </w:rPr>
                      <w:t xml:space="preserve"> of </w:t>
                    </w:r>
                    <w:r w:rsidRPr="00BA61D7">
                      <w:rPr>
                        <w:rFonts w:ascii="Arial" w:hAnsi="Arial"/>
                        <w:sz w:val="20"/>
                        <w:lang w:val="en-GB"/>
                      </w:rPr>
                      <w:fldChar w:fldCharType="begin"/>
                    </w:r>
                    <w:r w:rsidRPr="00BA61D7">
                      <w:rPr>
                        <w:rFonts w:ascii="Arial" w:hAnsi="Arial"/>
                        <w:sz w:val="20"/>
                        <w:lang w:val="en-GB"/>
                      </w:rPr>
                      <w:instrText xml:space="preserve"> NUMPAGES </w:instrText>
                    </w:r>
                    <w:r w:rsidRPr="00BA61D7">
                      <w:rPr>
                        <w:rFonts w:ascii="Arial" w:hAnsi="Arial"/>
                        <w:sz w:val="20"/>
                        <w:lang w:val="en-GB"/>
                      </w:rPr>
                      <w:fldChar w:fldCharType="separate"/>
                    </w:r>
                    <w:r w:rsidRPr="00BA61D7">
                      <w:rPr>
                        <w:rFonts w:ascii="Arial" w:hAnsi="Arial"/>
                        <w:sz w:val="20"/>
                        <w:lang w:val="en-GB"/>
                      </w:rPr>
                      <w:t>6</w:t>
                    </w:r>
                    <w:r w:rsidRPr="00BA61D7">
                      <w:rPr>
                        <w:rFonts w:ascii="Arial" w:hAnsi="Arial"/>
                        <w:sz w:val="20"/>
                        <w:lang w:val="en-GB"/>
                      </w:rPr>
                      <w:fldChar w:fldCharType="end"/>
                    </w:r>
                  </w:p>
                  <w:p w14:paraId="1D8DC8AB" w14:textId="77777777" w:rsidR="00BA61D7" w:rsidRPr="00BA61D7" w:rsidRDefault="00BA61D7" w:rsidP="00BA61D7">
                    <w:pPr>
                      <w:ind w:right="57"/>
                      <w:jc w:val="right"/>
                      <w:rPr>
                        <w:rFonts w:ascii="Arial" w:hAnsi="Arial"/>
                        <w:sz w:val="20"/>
                        <w:lang w:val="en-GB"/>
                      </w:rPr>
                    </w:pPr>
                  </w:p>
                  <w:p w14:paraId="0F7BE6E8" w14:textId="3F9FEE77" w:rsidR="005E0980" w:rsidRPr="00BA61D7" w:rsidRDefault="005E0980" w:rsidP="006F7755">
                    <w:pPr>
                      <w:ind w:right="57"/>
                      <w:jc w:val="right"/>
                      <w:rPr>
                        <w:rFonts w:ascii="Arial" w:hAnsi="Arial"/>
                        <w:sz w:val="20"/>
                        <w:lang w:val="en-GB"/>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52A9CF" w14:textId="77777777" w:rsidR="002A1EFB" w:rsidRPr="0093254A" w:rsidRDefault="002A1EFB" w:rsidP="002A1EFB">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3A49665B" w14:textId="77777777" w:rsidR="002A1EFB" w:rsidRPr="00B005FD" w:rsidRDefault="002A1EFB" w:rsidP="002A1EFB">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2CE88A26" w14:textId="77777777" w:rsidR="002A1EFB" w:rsidRPr="00B005FD" w:rsidRDefault="002A1EFB" w:rsidP="002A1EFB">
                          <w:pPr>
                            <w:spacing w:line="280" w:lineRule="exact"/>
                            <w:rPr>
                              <w:rFonts w:ascii="Arial" w:hAnsi="Arial"/>
                              <w:spacing w:val="2"/>
                              <w:sz w:val="20"/>
                              <w:lang w:val="en-GB"/>
                            </w:rPr>
                          </w:pPr>
                        </w:p>
                        <w:p w14:paraId="60FD3ABD" w14:textId="1F35C1A5" w:rsidR="005E0980" w:rsidRPr="002A1EFB"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6C52A9CF" w14:textId="77777777" w:rsidR="002A1EFB" w:rsidRPr="0093254A" w:rsidRDefault="002A1EFB" w:rsidP="002A1EFB">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3A49665B" w14:textId="77777777" w:rsidR="002A1EFB" w:rsidRPr="00B005FD" w:rsidRDefault="002A1EFB" w:rsidP="002A1EFB">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2CE88A26" w14:textId="77777777" w:rsidR="002A1EFB" w:rsidRPr="00B005FD" w:rsidRDefault="002A1EFB" w:rsidP="002A1EFB">
                    <w:pPr>
                      <w:spacing w:line="280" w:lineRule="exact"/>
                      <w:rPr>
                        <w:rFonts w:ascii="Arial" w:hAnsi="Arial"/>
                        <w:spacing w:val="2"/>
                        <w:sz w:val="20"/>
                        <w:lang w:val="en-GB"/>
                      </w:rPr>
                    </w:pPr>
                  </w:p>
                  <w:p w14:paraId="60FD3ABD" w14:textId="1F35C1A5" w:rsidR="005E0980" w:rsidRPr="002A1EFB"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642F60" w14:textId="77777777" w:rsidR="00DC5917" w:rsidRDefault="00DC5917">
      <w:r>
        <w:separator/>
      </w:r>
    </w:p>
  </w:footnote>
  <w:footnote w:type="continuationSeparator" w:id="0">
    <w:p w14:paraId="636592C6" w14:textId="77777777" w:rsidR="00DC5917" w:rsidRDefault="00DC59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9226909"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82484C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AA010A"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841"/>
    <w:rsid w:val="00112EDB"/>
    <w:rsid w:val="0011333E"/>
    <w:rsid w:val="00113932"/>
    <w:rsid w:val="00114367"/>
    <w:rsid w:val="00114719"/>
    <w:rsid w:val="0011495E"/>
    <w:rsid w:val="00114C20"/>
    <w:rsid w:val="00114F26"/>
    <w:rsid w:val="0012269E"/>
    <w:rsid w:val="001238CB"/>
    <w:rsid w:val="00123BBE"/>
    <w:rsid w:val="0012462F"/>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1F787C"/>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07D4"/>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1EFB"/>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2BD4"/>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0F65"/>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6990"/>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3F7"/>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345D"/>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0E2C"/>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21A"/>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C95"/>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3611"/>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370"/>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1F62"/>
    <w:rsid w:val="00AB24DC"/>
    <w:rsid w:val="00AB24F3"/>
    <w:rsid w:val="00AB458C"/>
    <w:rsid w:val="00AC04A2"/>
    <w:rsid w:val="00AC13F0"/>
    <w:rsid w:val="00AC1948"/>
    <w:rsid w:val="00AC2FEB"/>
    <w:rsid w:val="00AC33CE"/>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61D7"/>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8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917"/>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3F5C"/>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E54"/>
    <w:rsid w:val="00E7188A"/>
    <w:rsid w:val="00E73697"/>
    <w:rsid w:val="00E73FE0"/>
    <w:rsid w:val="00E76908"/>
    <w:rsid w:val="00E76AB5"/>
    <w:rsid w:val="00E76ABA"/>
    <w:rsid w:val="00E76DDD"/>
    <w:rsid w:val="00E77E76"/>
    <w:rsid w:val="00E81D17"/>
    <w:rsid w:val="00E828CD"/>
    <w:rsid w:val="00E82B25"/>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51BE"/>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A1E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848</Words>
  <Characters>5346</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6182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