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9149F" w14:textId="77777777" w:rsidR="003C41E9" w:rsidRPr="003C41E9" w:rsidRDefault="003C41E9" w:rsidP="003C41E9">
      <w:pPr>
        <w:spacing w:after="120" w:line="360" w:lineRule="auto"/>
        <w:ind w:left="567" w:right="1695"/>
        <w:rPr>
          <w:rFonts w:ascii="Arial" w:hAnsi="Arial" w:cs="Arial"/>
          <w:b/>
          <w:bCs/>
          <w:color w:val="000000" w:themeColor="text1"/>
          <w:sz w:val="28"/>
          <w:szCs w:val="28"/>
          <w:lang w:val="fr-FR"/>
        </w:rPr>
      </w:pPr>
      <w:r w:rsidRPr="003C41E9">
        <w:rPr>
          <w:rFonts w:ascii="Arial" w:hAnsi="Arial" w:cs="Arial"/>
          <w:b/>
          <w:bCs/>
          <w:color w:val="000000" w:themeColor="text1"/>
          <w:sz w:val="28"/>
          <w:szCs w:val="28"/>
          <w:lang w:val="fr-FR"/>
        </w:rPr>
        <w:t xml:space="preserve">Semoir compact </w:t>
      </w:r>
      <w:proofErr w:type="spellStart"/>
      <w:r w:rsidRPr="003C41E9">
        <w:rPr>
          <w:rFonts w:ascii="Arial" w:hAnsi="Arial" w:cs="Arial"/>
          <w:b/>
          <w:bCs/>
          <w:color w:val="000000" w:themeColor="text1"/>
          <w:sz w:val="28"/>
          <w:szCs w:val="28"/>
          <w:lang w:val="fr-FR"/>
        </w:rPr>
        <w:t>Centaya</w:t>
      </w:r>
      <w:proofErr w:type="spellEnd"/>
      <w:r w:rsidRPr="003C41E9">
        <w:rPr>
          <w:rFonts w:ascii="Arial" w:hAnsi="Arial" w:cs="Arial"/>
          <w:b/>
          <w:bCs/>
          <w:color w:val="000000" w:themeColor="text1"/>
          <w:sz w:val="28"/>
          <w:szCs w:val="28"/>
          <w:lang w:val="fr-FR"/>
        </w:rPr>
        <w:t>-C pour le semis combiné</w:t>
      </w:r>
    </w:p>
    <w:p w14:paraId="3DA28425" w14:textId="77777777" w:rsidR="006D13F7" w:rsidRPr="003C41E9" w:rsidRDefault="006D13F7" w:rsidP="00C120E2">
      <w:pPr>
        <w:spacing w:after="120" w:line="360" w:lineRule="auto"/>
        <w:ind w:left="567" w:right="1695"/>
        <w:rPr>
          <w:rFonts w:ascii="Arial" w:eastAsia="Arial" w:hAnsi="Arial" w:cs="Arial"/>
          <w:color w:val="000000" w:themeColor="text1"/>
          <w:lang w:val="fr-FR"/>
        </w:rPr>
      </w:pPr>
    </w:p>
    <w:p w14:paraId="1E57D811" w14:textId="342D70E1"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AMAZONE élargit sa gamme de semoirs compacts pneumatiques avec le nouveau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La particularité du combiné de semis réside dans la trémie 2 compartiments d’une capacité de 2 000 l. Cette particularité rend possible l’application de plusieurs produits en un seul passage. Le nouveau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Super est disponible en largeurs de travail de 3, 3,5 et 4 m. </w:t>
      </w:r>
    </w:p>
    <w:p w14:paraId="2B08BED9"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p>
    <w:p w14:paraId="098E46EE"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b/>
          <w:bCs/>
          <w:color w:val="000000" w:themeColor="text1"/>
          <w:lang w:val="fr-FR"/>
        </w:rPr>
        <w:t xml:space="preserve">Une large plage d’utilisation </w:t>
      </w:r>
    </w:p>
    <w:p w14:paraId="3243BF80"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proofErr w:type="gramStart"/>
      <w:r w:rsidRPr="003C41E9">
        <w:rPr>
          <w:rFonts w:ascii="Arial" w:eastAsia="Arial" w:hAnsi="Arial" w:cs="Arial"/>
          <w:color w:val="000000" w:themeColor="text1"/>
          <w:lang w:val="fr-FR"/>
        </w:rPr>
        <w:t>Suite aux</w:t>
      </w:r>
      <w:proofErr w:type="gramEnd"/>
      <w:r w:rsidRPr="003C41E9">
        <w:rPr>
          <w:rFonts w:ascii="Arial" w:eastAsia="Arial" w:hAnsi="Arial" w:cs="Arial"/>
          <w:color w:val="000000" w:themeColor="text1"/>
          <w:lang w:val="fr-FR"/>
        </w:rPr>
        <w:t xml:space="preserve"> défis croissants auxquels est confrontée la production végétale, les exigences vis-à-vis de la technique de semis progressent constamment. Un dosage et une profondeur d’implantation précises sont toujours primordiaux. De nouveaux critères entrent en jeux comme l’application simultanée de plusieurs semences ou l’apport d’engrais pendant le semis. Le nouveau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Super avec sa trémie 2 compartiments offre désormais la possibilité d’appliquer, en plus de la semence principale, des plantes compagnes et des cultures dérobées ce qui représente un grand avantage pour étouffer les adventices, augmenter la protection face à l’érosion, mais aussi favoriser la biodiversité. En outre, l’apport simultané d’engrais est une solution efficace qui favorise un développement rapide des plantules et des taux de levée importants dans le champ. Pour l’agriculteur et l’entrepreneur, cette technique de semis offre des méthodes agronomiques différentes et une flexibilité élevée pour associer la semence et l’engrais. La réduction du nombre de passages génère par ailleurs une économie de carburant et de temps. </w:t>
      </w:r>
    </w:p>
    <w:p w14:paraId="6C165D53"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p>
    <w:p w14:paraId="31073276" w14:textId="77777777" w:rsidR="003C41E9" w:rsidRPr="003C41E9" w:rsidRDefault="003C41E9" w:rsidP="003C41E9">
      <w:pPr>
        <w:spacing w:after="120" w:line="360" w:lineRule="auto"/>
        <w:ind w:left="567" w:right="1695"/>
        <w:rPr>
          <w:rFonts w:ascii="Arial" w:eastAsia="Arial" w:hAnsi="Arial" w:cs="Arial"/>
          <w:b/>
          <w:bCs/>
          <w:color w:val="000000" w:themeColor="text1"/>
          <w:lang w:val="fr-FR"/>
        </w:rPr>
      </w:pPr>
      <w:r w:rsidRPr="003C41E9">
        <w:rPr>
          <w:rFonts w:ascii="Arial" w:eastAsia="Arial" w:hAnsi="Arial" w:cs="Arial"/>
          <w:b/>
          <w:bCs/>
          <w:color w:val="000000" w:themeColor="text1"/>
          <w:lang w:val="fr-FR"/>
        </w:rPr>
        <w:t xml:space="preserve">Jusqu’à trois points d’application différents </w:t>
      </w:r>
    </w:p>
    <w:p w14:paraId="7C27B5B3"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Le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Super est équipé au choix du </w:t>
      </w:r>
      <w:proofErr w:type="spellStart"/>
      <w:r w:rsidRPr="003C41E9">
        <w:rPr>
          <w:rFonts w:ascii="Arial" w:eastAsia="Arial" w:hAnsi="Arial" w:cs="Arial"/>
          <w:color w:val="000000" w:themeColor="text1"/>
          <w:lang w:val="fr-FR"/>
        </w:rPr>
        <w:t>monodisque</w:t>
      </w:r>
      <w:proofErr w:type="spellEnd"/>
      <w:r w:rsidRPr="003C41E9">
        <w:rPr>
          <w:rFonts w:ascii="Arial" w:eastAsia="Arial" w:hAnsi="Arial" w:cs="Arial"/>
          <w:color w:val="000000" w:themeColor="text1"/>
          <w:lang w:val="fr-FR"/>
        </w:rPr>
        <w:t xml:space="preserve"> </w:t>
      </w:r>
      <w:proofErr w:type="spellStart"/>
      <w:r w:rsidRPr="003C41E9">
        <w:rPr>
          <w:rFonts w:ascii="Arial" w:eastAsia="Arial" w:hAnsi="Arial" w:cs="Arial"/>
          <w:color w:val="000000" w:themeColor="text1"/>
          <w:lang w:val="fr-FR"/>
        </w:rPr>
        <w:t>RoTeC</w:t>
      </w:r>
      <w:proofErr w:type="spellEnd"/>
      <w:r w:rsidRPr="003C41E9">
        <w:rPr>
          <w:rFonts w:ascii="Arial" w:eastAsia="Arial" w:hAnsi="Arial" w:cs="Arial"/>
          <w:color w:val="000000" w:themeColor="text1"/>
          <w:lang w:val="fr-FR"/>
        </w:rPr>
        <w:t xml:space="preserve"> pro ou du double disque </w:t>
      </w:r>
      <w:proofErr w:type="spellStart"/>
      <w:r w:rsidRPr="003C41E9">
        <w:rPr>
          <w:rFonts w:ascii="Arial" w:eastAsia="Arial" w:hAnsi="Arial" w:cs="Arial"/>
          <w:color w:val="000000" w:themeColor="text1"/>
          <w:lang w:val="fr-FR"/>
        </w:rPr>
        <w:t>TwinTeC</w:t>
      </w:r>
      <w:proofErr w:type="spellEnd"/>
      <w:r w:rsidRPr="003C41E9">
        <w:rPr>
          <w:rFonts w:ascii="Arial" w:eastAsia="Arial" w:hAnsi="Arial" w:cs="Arial"/>
          <w:color w:val="000000" w:themeColor="text1"/>
          <w:lang w:val="fr-FR"/>
        </w:rPr>
        <w:t>.</w:t>
      </w:r>
    </w:p>
    <w:p w14:paraId="1A729641"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p>
    <w:p w14:paraId="11B268FE" w14:textId="4E502434"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lastRenderedPageBreak/>
        <w:t xml:space="preserve">Le disque </w:t>
      </w:r>
      <w:proofErr w:type="spellStart"/>
      <w:r w:rsidRPr="003C41E9">
        <w:rPr>
          <w:rFonts w:ascii="Arial" w:eastAsia="Arial" w:hAnsi="Arial" w:cs="Arial"/>
          <w:color w:val="000000" w:themeColor="text1"/>
          <w:lang w:val="fr-FR"/>
        </w:rPr>
        <w:t>RoTeC</w:t>
      </w:r>
      <w:proofErr w:type="spellEnd"/>
      <w:r w:rsidRPr="003C41E9">
        <w:rPr>
          <w:rFonts w:ascii="Arial" w:eastAsia="Arial" w:hAnsi="Arial" w:cs="Arial"/>
          <w:color w:val="000000" w:themeColor="text1"/>
          <w:lang w:val="fr-FR"/>
        </w:rPr>
        <w:t xml:space="preserve"> pro de 400 mm permet l’application de deux produits en procédé Single-Shoot. Dans ce cas, les différents produits sont dosés individuellement et guidés via la même descente d’alimentation jusque dans le </w:t>
      </w:r>
      <w:proofErr w:type="spellStart"/>
      <w:r w:rsidRPr="003C41E9">
        <w:rPr>
          <w:rFonts w:ascii="Arial" w:eastAsia="Arial" w:hAnsi="Arial" w:cs="Arial"/>
          <w:color w:val="000000" w:themeColor="text1"/>
          <w:lang w:val="fr-FR"/>
        </w:rPr>
        <w:t>monodisque</w:t>
      </w:r>
      <w:proofErr w:type="spellEnd"/>
      <w:r w:rsidRPr="003C41E9">
        <w:rPr>
          <w:rFonts w:ascii="Arial" w:eastAsia="Arial" w:hAnsi="Arial" w:cs="Arial"/>
          <w:color w:val="000000" w:themeColor="text1"/>
          <w:lang w:val="fr-FR"/>
        </w:rPr>
        <w:t xml:space="preserve"> et le point d’application. Ainsi par exemple, un petit volume d’engrais est implanté directement au niveau de la graine.</w:t>
      </w:r>
    </w:p>
    <w:p w14:paraId="37F2673C" w14:textId="7389CF21"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En associant le double disque </w:t>
      </w:r>
      <w:proofErr w:type="spellStart"/>
      <w:r w:rsidRPr="003C41E9">
        <w:rPr>
          <w:rFonts w:ascii="Arial" w:eastAsia="Arial" w:hAnsi="Arial" w:cs="Arial"/>
          <w:color w:val="000000" w:themeColor="text1"/>
          <w:lang w:val="fr-FR"/>
        </w:rPr>
        <w:t>TwinTeC</w:t>
      </w:r>
      <w:proofErr w:type="spellEnd"/>
      <w:r w:rsidRPr="003C41E9">
        <w:rPr>
          <w:rFonts w:ascii="Arial" w:eastAsia="Arial" w:hAnsi="Arial" w:cs="Arial"/>
          <w:color w:val="000000" w:themeColor="text1"/>
          <w:lang w:val="fr-FR"/>
        </w:rPr>
        <w:t xml:space="preserve">, il est même possible d’appliquer, sur deux points différents, deux semences différentes ou une semence et un engrais en procédé Double-Shoot. Le premier produit est implanté dans le sol par le biais du </w:t>
      </w:r>
      <w:proofErr w:type="spellStart"/>
      <w:r w:rsidRPr="003C41E9">
        <w:rPr>
          <w:rFonts w:ascii="Arial" w:eastAsia="Arial" w:hAnsi="Arial" w:cs="Arial"/>
          <w:color w:val="000000" w:themeColor="text1"/>
          <w:lang w:val="fr-FR"/>
        </w:rPr>
        <w:t>TwinTeC</w:t>
      </w:r>
      <w:proofErr w:type="spellEnd"/>
      <w:r w:rsidRPr="003C41E9">
        <w:rPr>
          <w:rFonts w:ascii="Arial" w:eastAsia="Arial" w:hAnsi="Arial" w:cs="Arial"/>
          <w:color w:val="000000" w:themeColor="text1"/>
          <w:lang w:val="fr-FR"/>
        </w:rPr>
        <w:t xml:space="preserve"> ; le deuxième produit est amené par une descente d’alimentation séparée jusqu’à une sortie supplémentaire au niveau du disque </w:t>
      </w:r>
      <w:proofErr w:type="spellStart"/>
      <w:r w:rsidRPr="003C41E9">
        <w:rPr>
          <w:rFonts w:ascii="Arial" w:eastAsia="Arial" w:hAnsi="Arial" w:cs="Arial"/>
          <w:color w:val="000000" w:themeColor="text1"/>
          <w:lang w:val="fr-FR"/>
        </w:rPr>
        <w:t>TwinTeC</w:t>
      </w:r>
      <w:proofErr w:type="spellEnd"/>
      <w:r w:rsidRPr="003C41E9">
        <w:rPr>
          <w:rFonts w:ascii="Arial" w:eastAsia="Arial" w:hAnsi="Arial" w:cs="Arial"/>
          <w:color w:val="000000" w:themeColor="text1"/>
          <w:lang w:val="fr-FR"/>
        </w:rPr>
        <w:t>, il est implanté dans le sol devant la roue de jauge. Grâce à cette application décalée, l’engrais est par exemple implanté de façon ciblée pour une alimentation globale de la plante.</w:t>
      </w:r>
    </w:p>
    <w:p w14:paraId="696F40D6"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Pour le semis simultané d’intercultures ou de semences fines graines, le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Super peut être en plus utilisé avec le semoir d’intercultures </w:t>
      </w:r>
      <w:proofErr w:type="spellStart"/>
      <w:r w:rsidRPr="003C41E9">
        <w:rPr>
          <w:rFonts w:ascii="Arial" w:eastAsia="Arial" w:hAnsi="Arial" w:cs="Arial"/>
          <w:color w:val="000000" w:themeColor="text1"/>
          <w:lang w:val="fr-FR"/>
        </w:rPr>
        <w:t>GreenDrill</w:t>
      </w:r>
      <w:proofErr w:type="spellEnd"/>
      <w:r w:rsidRPr="003C41E9">
        <w:rPr>
          <w:rFonts w:ascii="Arial" w:eastAsia="Arial" w:hAnsi="Arial" w:cs="Arial"/>
          <w:color w:val="000000" w:themeColor="text1"/>
          <w:lang w:val="fr-FR"/>
        </w:rPr>
        <w:t xml:space="preserve"> 200. Ce combiné permet d’appliquer à la surface du sol un troisième produit par le biais des diffuseurs. La semence est guidée directement jusqu’aux diffuseurs derrière le semoir, à partir de la trémie compacte de 200 litres. </w:t>
      </w:r>
    </w:p>
    <w:p w14:paraId="6C173BFD"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p>
    <w:p w14:paraId="5265487A" w14:textId="77777777" w:rsidR="003C41E9" w:rsidRPr="003C41E9" w:rsidRDefault="003C41E9" w:rsidP="003C41E9">
      <w:pPr>
        <w:spacing w:after="120" w:line="360" w:lineRule="auto"/>
        <w:ind w:left="567" w:right="1695"/>
        <w:rPr>
          <w:rFonts w:ascii="Arial" w:eastAsia="Arial" w:hAnsi="Arial" w:cs="Arial"/>
          <w:b/>
          <w:bCs/>
          <w:color w:val="000000" w:themeColor="text1"/>
          <w:lang w:val="fr-FR"/>
        </w:rPr>
      </w:pPr>
      <w:r w:rsidRPr="003C41E9">
        <w:rPr>
          <w:rFonts w:ascii="Arial" w:eastAsia="Arial" w:hAnsi="Arial" w:cs="Arial"/>
          <w:b/>
          <w:bCs/>
          <w:color w:val="000000" w:themeColor="text1"/>
          <w:lang w:val="fr-FR"/>
        </w:rPr>
        <w:t>Précis, intelligent et performant</w:t>
      </w:r>
    </w:p>
    <w:p w14:paraId="46C7F9C9" w14:textId="08DC28F1"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Sur le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 C Super piloté ISOBUS, le dosage des différents produits est réalisé séparément et avec précision, par le biais de l’unité de dosage électrique, réglable en continu, avec des densités de semis de 0,5 à 400 kg/ ha. Avec des inter-rangs de 12,5 et 15 cm, le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-C Super atteint des vitesses de travail jusqu’à 12 km/h.</w:t>
      </w:r>
    </w:p>
    <w:p w14:paraId="59DE46A8" w14:textId="011B5416"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Le remplissage est confortable grâce à la grande ouverture de trémie. La trémie et les différentes unités de dosage sont faciles à atteindre en passant par la passerelle. L’étalonnage ainsi que le réglage machine sont conviviaux et précis via le </w:t>
      </w:r>
      <w:proofErr w:type="spellStart"/>
      <w:r w:rsidRPr="003C41E9">
        <w:rPr>
          <w:rFonts w:ascii="Arial" w:eastAsia="Arial" w:hAnsi="Arial" w:cs="Arial"/>
          <w:color w:val="000000" w:themeColor="text1"/>
          <w:lang w:val="fr-FR"/>
        </w:rPr>
        <w:t>SmartCenter</w:t>
      </w:r>
      <w:proofErr w:type="spellEnd"/>
      <w:r w:rsidRPr="003C41E9">
        <w:rPr>
          <w:rFonts w:ascii="Arial" w:eastAsia="Arial" w:hAnsi="Arial" w:cs="Arial"/>
          <w:color w:val="000000" w:themeColor="text1"/>
          <w:lang w:val="fr-FR"/>
        </w:rPr>
        <w:t xml:space="preserve">. Les débits et les régimes sont clairement affichés sur le </w:t>
      </w:r>
      <w:r w:rsidRPr="003C41E9">
        <w:rPr>
          <w:rFonts w:ascii="Arial" w:eastAsia="Arial" w:hAnsi="Arial" w:cs="Arial"/>
          <w:color w:val="000000" w:themeColor="text1"/>
          <w:lang w:val="fr-FR"/>
        </w:rPr>
        <w:lastRenderedPageBreak/>
        <w:t xml:space="preserve">terminal ISOBUS </w:t>
      </w:r>
      <w:proofErr w:type="spellStart"/>
      <w:r w:rsidRPr="003C41E9">
        <w:rPr>
          <w:rFonts w:ascii="Arial" w:eastAsia="Arial" w:hAnsi="Arial" w:cs="Arial"/>
          <w:color w:val="000000" w:themeColor="text1"/>
          <w:lang w:val="fr-FR"/>
        </w:rPr>
        <w:t>AmaTron</w:t>
      </w:r>
      <w:proofErr w:type="spellEnd"/>
      <w:r w:rsidRPr="003C41E9">
        <w:rPr>
          <w:rFonts w:ascii="Arial" w:eastAsia="Arial" w:hAnsi="Arial" w:cs="Arial"/>
          <w:color w:val="000000" w:themeColor="text1"/>
          <w:lang w:val="fr-FR"/>
        </w:rPr>
        <w:t xml:space="preserve"> 4 AMAZONE. Le conducteur modifie facilement le débit de semis durant le chantier, depuis la cabine du tracteur.</w:t>
      </w:r>
    </w:p>
    <w:p w14:paraId="0498F82A" w14:textId="10757BC1"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Le semoir peut être équipé d’une vidange rapide qui permet un changement rapide de semence durant le chantier. Un compartiment de stockage est disponible en option pour disposer d’une réserve de sacs de semence.</w:t>
      </w:r>
    </w:p>
    <w:p w14:paraId="7B750738"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Le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-C Super est particulièrement performant grâce à sa trémie de 2 000 litres à 2 compartiments. La trémie est compartimentée individuellement en fonction des souhaits des clients avec un rapport 60/40 ou 70/30. La forme particulière et le positionnement proche du tracteur de la trémie en métal garantissent une faible puissance absorbée.</w:t>
      </w:r>
    </w:p>
    <w:p w14:paraId="53A2F6BD"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p>
    <w:p w14:paraId="2DE09331"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b/>
          <w:bCs/>
          <w:color w:val="000000" w:themeColor="text1"/>
          <w:lang w:val="fr-FR"/>
        </w:rPr>
        <w:t xml:space="preserve">Système de couplage rapide </w:t>
      </w:r>
      <w:proofErr w:type="spellStart"/>
      <w:r w:rsidRPr="003C41E9">
        <w:rPr>
          <w:rFonts w:ascii="Arial" w:eastAsia="Arial" w:hAnsi="Arial" w:cs="Arial"/>
          <w:b/>
          <w:bCs/>
          <w:color w:val="000000" w:themeColor="text1"/>
          <w:lang w:val="fr-FR"/>
        </w:rPr>
        <w:t>QuickLink</w:t>
      </w:r>
      <w:proofErr w:type="spellEnd"/>
      <w:r w:rsidRPr="003C41E9">
        <w:rPr>
          <w:rFonts w:ascii="Arial" w:eastAsia="Arial" w:hAnsi="Arial" w:cs="Arial"/>
          <w:b/>
          <w:bCs/>
          <w:color w:val="000000" w:themeColor="text1"/>
          <w:lang w:val="fr-FR"/>
        </w:rPr>
        <w:t xml:space="preserve"> </w:t>
      </w:r>
    </w:p>
    <w:p w14:paraId="1B7B932C" w14:textId="77777777" w:rsidR="003C41E9" w:rsidRPr="003C41E9" w:rsidRDefault="003C41E9" w:rsidP="003C41E9">
      <w:pPr>
        <w:spacing w:after="120" w:line="360" w:lineRule="auto"/>
        <w:ind w:left="567" w:right="1695"/>
        <w:rPr>
          <w:rFonts w:ascii="Arial" w:eastAsia="Arial" w:hAnsi="Arial" w:cs="Arial"/>
          <w:color w:val="000000" w:themeColor="text1"/>
          <w:lang w:val="fr-FR"/>
        </w:rPr>
      </w:pPr>
      <w:r w:rsidRPr="003C41E9">
        <w:rPr>
          <w:rFonts w:ascii="Arial" w:eastAsia="Arial" w:hAnsi="Arial" w:cs="Arial"/>
          <w:color w:val="000000" w:themeColor="text1"/>
          <w:lang w:val="fr-FR"/>
        </w:rPr>
        <w:t xml:space="preserve">Grâce au système de couplage rapide </w:t>
      </w:r>
      <w:proofErr w:type="spellStart"/>
      <w:r w:rsidRPr="003C41E9">
        <w:rPr>
          <w:rFonts w:ascii="Arial" w:eastAsia="Arial" w:hAnsi="Arial" w:cs="Arial"/>
          <w:color w:val="000000" w:themeColor="text1"/>
          <w:lang w:val="fr-FR"/>
        </w:rPr>
        <w:t>QuickLink</w:t>
      </w:r>
      <w:proofErr w:type="spellEnd"/>
      <w:r w:rsidRPr="003C41E9">
        <w:rPr>
          <w:rFonts w:ascii="Arial" w:eastAsia="Arial" w:hAnsi="Arial" w:cs="Arial"/>
          <w:color w:val="000000" w:themeColor="text1"/>
          <w:lang w:val="fr-FR"/>
        </w:rPr>
        <w:t xml:space="preserve">, le semoir compact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Super est couplé très facilement, rapidement et sans outil aux différents outils de préparation du sol Amazone. En fonction des conditions de sol, un combiné composé des modèles de herses rotatives KE 02 ou des cultivateurs rotatifs KG et KX est possible. Sur des sols très légers, le </w:t>
      </w:r>
      <w:proofErr w:type="spellStart"/>
      <w:r w:rsidRPr="003C41E9">
        <w:rPr>
          <w:rFonts w:ascii="Arial" w:eastAsia="Arial" w:hAnsi="Arial" w:cs="Arial"/>
          <w:color w:val="000000" w:themeColor="text1"/>
          <w:lang w:val="fr-FR"/>
        </w:rPr>
        <w:t>Centaya</w:t>
      </w:r>
      <w:proofErr w:type="spellEnd"/>
      <w:r w:rsidRPr="003C41E9">
        <w:rPr>
          <w:rFonts w:ascii="Arial" w:eastAsia="Arial" w:hAnsi="Arial" w:cs="Arial"/>
          <w:color w:val="000000" w:themeColor="text1"/>
          <w:lang w:val="fr-FR"/>
        </w:rPr>
        <w:t xml:space="preserve">-C Super peut être utilisé avec le </w:t>
      </w:r>
      <w:proofErr w:type="spellStart"/>
      <w:r w:rsidRPr="003C41E9">
        <w:rPr>
          <w:rFonts w:ascii="Arial" w:eastAsia="Arial" w:hAnsi="Arial" w:cs="Arial"/>
          <w:color w:val="000000" w:themeColor="text1"/>
          <w:lang w:val="fr-FR"/>
        </w:rPr>
        <w:t>CombiDisc</w:t>
      </w:r>
      <w:proofErr w:type="spellEnd"/>
      <w:r w:rsidRPr="003C41E9">
        <w:rPr>
          <w:rFonts w:ascii="Arial" w:eastAsia="Arial" w:hAnsi="Arial" w:cs="Arial"/>
          <w:color w:val="000000" w:themeColor="text1"/>
          <w:lang w:val="fr-FR"/>
        </w:rPr>
        <w:t>.</w:t>
      </w:r>
    </w:p>
    <w:p w14:paraId="61427CB2" w14:textId="6EC9C6B0" w:rsidR="0061248F" w:rsidRPr="003C41E9" w:rsidRDefault="0061248F" w:rsidP="003C41E9">
      <w:pPr>
        <w:spacing w:after="120" w:line="360" w:lineRule="auto"/>
        <w:ind w:left="567" w:right="1695"/>
        <w:rPr>
          <w:rFonts w:ascii="Arial" w:hAnsi="Arial" w:cs="Arial"/>
          <w:bCs/>
          <w:color w:val="000000" w:themeColor="text1"/>
          <w:lang w:val="en-US"/>
        </w:rPr>
      </w:pPr>
    </w:p>
    <w:p w14:paraId="50F6444E" w14:textId="12A747C5" w:rsidR="0061248F" w:rsidRPr="003C41E9" w:rsidRDefault="0061248F" w:rsidP="00070765">
      <w:pPr>
        <w:spacing w:after="120" w:line="360" w:lineRule="auto"/>
        <w:ind w:left="567" w:right="1695"/>
        <w:rPr>
          <w:rFonts w:ascii="Arial" w:hAnsi="Arial" w:cs="Arial"/>
          <w:bCs/>
          <w:color w:val="000000" w:themeColor="text1"/>
          <w:lang w:val="en-US"/>
        </w:rPr>
      </w:pPr>
    </w:p>
    <w:p w14:paraId="5798FBD9" w14:textId="1EB45EFA" w:rsidR="0061248F" w:rsidRPr="003C41E9" w:rsidRDefault="0061248F" w:rsidP="00070765">
      <w:pPr>
        <w:spacing w:after="120" w:line="360" w:lineRule="auto"/>
        <w:ind w:left="567" w:right="1695"/>
        <w:rPr>
          <w:rFonts w:ascii="Arial" w:hAnsi="Arial" w:cs="Arial"/>
          <w:bCs/>
          <w:color w:val="000000" w:themeColor="text1"/>
          <w:lang w:val="en-US"/>
        </w:rPr>
      </w:pPr>
    </w:p>
    <w:p w14:paraId="08AC6701" w14:textId="0DED8AC0" w:rsidR="006D13F7" w:rsidRPr="003C41E9" w:rsidRDefault="006D13F7" w:rsidP="00070765">
      <w:pPr>
        <w:spacing w:after="120" w:line="360" w:lineRule="auto"/>
        <w:ind w:left="567" w:right="1695"/>
        <w:rPr>
          <w:rFonts w:ascii="Arial" w:hAnsi="Arial" w:cs="Arial"/>
          <w:bCs/>
          <w:color w:val="000000" w:themeColor="text1"/>
        </w:rPr>
      </w:pPr>
      <w:r w:rsidRPr="003C41E9">
        <w:rPr>
          <w:rFonts w:ascii="Arial" w:hAnsi="Arial" w:cs="Arial"/>
          <w:bCs/>
          <w:noProof/>
          <w:color w:val="000000" w:themeColor="text1"/>
        </w:rPr>
        <w:lastRenderedPageBreak/>
        <w:drawing>
          <wp:inline distT="0" distB="0" distL="0" distR="0" wp14:anchorId="6CF0A809" wp14:editId="052142E8">
            <wp:extent cx="3528000" cy="2880000"/>
            <wp:effectExtent l="0" t="0" r="317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8000" cy="2880000"/>
                    </a:xfrm>
                    <a:prstGeom prst="rect">
                      <a:avLst/>
                    </a:prstGeom>
                  </pic:spPr>
                </pic:pic>
              </a:graphicData>
            </a:graphic>
          </wp:inline>
        </w:drawing>
      </w:r>
    </w:p>
    <w:p w14:paraId="145BCEDC" w14:textId="77777777" w:rsidR="003C41E9" w:rsidRPr="003C41E9" w:rsidRDefault="003C41E9" w:rsidP="003C41E9">
      <w:pPr>
        <w:spacing w:after="120" w:line="360" w:lineRule="auto"/>
        <w:ind w:left="567" w:right="1695"/>
        <w:rPr>
          <w:rFonts w:ascii="Arial" w:hAnsi="Arial" w:cs="Arial"/>
          <w:bCs/>
          <w:color w:val="000000" w:themeColor="text1"/>
          <w:lang w:val="fr-FR"/>
        </w:rPr>
      </w:pPr>
      <w:proofErr w:type="spellStart"/>
      <w:r w:rsidRPr="003C41E9">
        <w:rPr>
          <w:rFonts w:ascii="Arial" w:hAnsi="Arial" w:cs="Arial"/>
          <w:bCs/>
          <w:color w:val="000000" w:themeColor="text1"/>
          <w:lang w:val="fr-FR"/>
        </w:rPr>
        <w:t>Centaya</w:t>
      </w:r>
      <w:proofErr w:type="spellEnd"/>
      <w:r w:rsidRPr="003C41E9">
        <w:rPr>
          <w:rFonts w:ascii="Arial" w:hAnsi="Arial" w:cs="Arial"/>
          <w:bCs/>
          <w:color w:val="000000" w:themeColor="text1"/>
          <w:lang w:val="fr-FR"/>
        </w:rPr>
        <w:t>-C avec deuxième tête de distribution pour une répartition homogène d’un autre produit</w:t>
      </w:r>
    </w:p>
    <w:p w14:paraId="72A50314" w14:textId="41665AAC" w:rsidR="0061248F" w:rsidRPr="003C41E9" w:rsidRDefault="0061248F" w:rsidP="00070765">
      <w:pPr>
        <w:spacing w:after="120" w:line="360" w:lineRule="auto"/>
        <w:ind w:left="567" w:right="1695"/>
        <w:rPr>
          <w:rFonts w:ascii="Arial" w:hAnsi="Arial" w:cs="Arial"/>
          <w:bCs/>
          <w:color w:val="000000" w:themeColor="text1"/>
          <w:lang w:val="fr-FR"/>
        </w:rPr>
      </w:pPr>
    </w:p>
    <w:p w14:paraId="0EB14092" w14:textId="7602A7D0" w:rsidR="00C120E2" w:rsidRPr="003C41E9" w:rsidRDefault="00C120E2" w:rsidP="00070765">
      <w:pPr>
        <w:spacing w:after="120" w:line="360" w:lineRule="auto"/>
        <w:ind w:left="567" w:right="1695"/>
        <w:rPr>
          <w:rFonts w:ascii="Arial" w:hAnsi="Arial" w:cs="Arial"/>
          <w:bCs/>
          <w:color w:val="000000" w:themeColor="text1"/>
          <w:lang w:val="en-US"/>
        </w:rPr>
      </w:pPr>
    </w:p>
    <w:p w14:paraId="3C926EF5" w14:textId="7BA3D236" w:rsidR="00C120E2" w:rsidRPr="003C41E9" w:rsidRDefault="006D13F7" w:rsidP="00070765">
      <w:pPr>
        <w:spacing w:after="120" w:line="360" w:lineRule="auto"/>
        <w:ind w:left="567" w:right="1695"/>
        <w:rPr>
          <w:rFonts w:ascii="Arial" w:hAnsi="Arial" w:cs="Arial"/>
          <w:bCs/>
          <w:color w:val="000000" w:themeColor="text1"/>
        </w:rPr>
      </w:pPr>
      <w:r w:rsidRPr="003C41E9">
        <w:rPr>
          <w:rFonts w:ascii="Arial" w:hAnsi="Arial" w:cs="Arial"/>
          <w:bCs/>
          <w:noProof/>
          <w:color w:val="000000" w:themeColor="text1"/>
        </w:rPr>
        <w:drawing>
          <wp:inline distT="0" distB="0" distL="0" distR="0" wp14:anchorId="56C45D79" wp14:editId="501F2DF2">
            <wp:extent cx="4845600" cy="2880000"/>
            <wp:effectExtent l="0" t="0" r="635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45600" cy="2880000"/>
                    </a:xfrm>
                    <a:prstGeom prst="rect">
                      <a:avLst/>
                    </a:prstGeom>
                  </pic:spPr>
                </pic:pic>
              </a:graphicData>
            </a:graphic>
          </wp:inline>
        </w:drawing>
      </w:r>
    </w:p>
    <w:p w14:paraId="349CD3A1" w14:textId="718DDD0D" w:rsidR="00C120E2" w:rsidRDefault="003C41E9" w:rsidP="006A7977">
      <w:pPr>
        <w:spacing w:after="120" w:line="360" w:lineRule="auto"/>
        <w:ind w:left="567" w:right="1695"/>
        <w:rPr>
          <w:rFonts w:ascii="Arial" w:hAnsi="Arial" w:cs="Arial"/>
          <w:bCs/>
          <w:color w:val="000000" w:themeColor="text1"/>
          <w:lang w:val="fr-FR"/>
        </w:rPr>
      </w:pPr>
      <w:r w:rsidRPr="003C41E9">
        <w:rPr>
          <w:rFonts w:ascii="Arial" w:hAnsi="Arial" w:cs="Arial"/>
          <w:bCs/>
          <w:color w:val="000000" w:themeColor="text1"/>
          <w:lang w:val="fr-FR"/>
        </w:rPr>
        <w:t xml:space="preserve">Le deuxième produit est acheminé par une descente d’alimentation séparée jusqu’à la sortie supplémentaire au niveau du disque </w:t>
      </w:r>
      <w:proofErr w:type="spellStart"/>
      <w:r w:rsidRPr="003C41E9">
        <w:rPr>
          <w:rFonts w:ascii="Arial" w:hAnsi="Arial" w:cs="Arial"/>
          <w:bCs/>
          <w:color w:val="000000" w:themeColor="text1"/>
          <w:lang w:val="fr-FR"/>
        </w:rPr>
        <w:t>TwinTeC</w:t>
      </w:r>
      <w:proofErr w:type="spellEnd"/>
      <w:r w:rsidRPr="003C41E9">
        <w:rPr>
          <w:rFonts w:ascii="Arial" w:hAnsi="Arial" w:cs="Arial"/>
          <w:bCs/>
          <w:color w:val="000000" w:themeColor="text1"/>
          <w:lang w:val="fr-FR"/>
        </w:rPr>
        <w:t xml:space="preserve"> et implanté devant la roue de jauge</w:t>
      </w:r>
    </w:p>
    <w:p w14:paraId="6A6635A1" w14:textId="77777777" w:rsidR="006A7977" w:rsidRPr="006A7977" w:rsidRDefault="006A7977" w:rsidP="006A7977">
      <w:pPr>
        <w:spacing w:after="120" w:line="360" w:lineRule="auto"/>
        <w:ind w:left="567" w:right="1695"/>
        <w:rPr>
          <w:rFonts w:ascii="Arial" w:hAnsi="Arial" w:cs="Arial"/>
          <w:bCs/>
          <w:color w:val="000000" w:themeColor="text1"/>
          <w:lang w:val="fr-FR"/>
        </w:rPr>
      </w:pPr>
    </w:p>
    <w:p w14:paraId="0AF40C88" w14:textId="467929D3" w:rsidR="00C120E2" w:rsidRPr="003C41E9" w:rsidRDefault="003C41E9" w:rsidP="00070765">
      <w:pPr>
        <w:spacing w:after="120" w:line="360" w:lineRule="auto"/>
        <w:ind w:left="567" w:right="1695"/>
        <w:rPr>
          <w:rFonts w:ascii="Arial" w:hAnsi="Arial" w:cs="Arial"/>
          <w:b/>
          <w:bCs/>
          <w:color w:val="000000" w:themeColor="text1"/>
        </w:rPr>
      </w:pPr>
      <w:r w:rsidRPr="003C41E9">
        <w:rPr>
          <w:rFonts w:ascii="Arial" w:hAnsi="Arial" w:cs="Arial"/>
          <w:b/>
          <w:bCs/>
          <w:noProof/>
          <w:color w:val="000000" w:themeColor="text1"/>
        </w:rPr>
        <w:lastRenderedPageBreak/>
        <w:drawing>
          <wp:inline distT="0" distB="0" distL="0" distR="0" wp14:anchorId="31466A3B" wp14:editId="33FEC296">
            <wp:extent cx="6051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51600" cy="2880000"/>
                    </a:xfrm>
                    <a:prstGeom prst="rect">
                      <a:avLst/>
                    </a:prstGeom>
                  </pic:spPr>
                </pic:pic>
              </a:graphicData>
            </a:graphic>
          </wp:inline>
        </w:drawing>
      </w:r>
    </w:p>
    <w:p w14:paraId="4447EFB4" w14:textId="77777777" w:rsidR="006D13F7" w:rsidRPr="003C41E9" w:rsidRDefault="006D13F7" w:rsidP="00070765">
      <w:pPr>
        <w:spacing w:after="120" w:line="360" w:lineRule="auto"/>
        <w:ind w:left="567" w:right="1695"/>
        <w:rPr>
          <w:rFonts w:ascii="Arial" w:hAnsi="Arial" w:cs="Arial"/>
          <w:bCs/>
          <w:color w:val="000000" w:themeColor="text1"/>
        </w:rPr>
      </w:pPr>
    </w:p>
    <w:p w14:paraId="0DFE522F" w14:textId="4C12D563" w:rsidR="00C120E2" w:rsidRPr="003C41E9" w:rsidRDefault="00C120E2" w:rsidP="00070765">
      <w:pPr>
        <w:spacing w:after="120" w:line="360" w:lineRule="auto"/>
        <w:ind w:left="567" w:right="1695"/>
        <w:rPr>
          <w:rFonts w:ascii="Arial" w:hAnsi="Arial" w:cs="Arial"/>
          <w:bCs/>
          <w:color w:val="000000" w:themeColor="text1"/>
        </w:rPr>
      </w:pPr>
    </w:p>
    <w:p w14:paraId="099108B7" w14:textId="526B0D06" w:rsidR="006D13F7" w:rsidRPr="003C41E9" w:rsidRDefault="006D13F7" w:rsidP="00070765">
      <w:pPr>
        <w:spacing w:after="120" w:line="360" w:lineRule="auto"/>
        <w:ind w:left="567" w:right="1695"/>
        <w:rPr>
          <w:rFonts w:ascii="Arial" w:hAnsi="Arial" w:cs="Arial"/>
          <w:bCs/>
          <w:color w:val="000000" w:themeColor="text1"/>
        </w:rPr>
      </w:pPr>
      <w:r w:rsidRPr="003C41E9">
        <w:rPr>
          <w:rFonts w:ascii="Arial" w:hAnsi="Arial" w:cs="Arial"/>
          <w:bCs/>
          <w:noProof/>
          <w:color w:val="000000" w:themeColor="text1"/>
        </w:rPr>
        <w:drawing>
          <wp:inline distT="0" distB="0" distL="0" distR="0" wp14:anchorId="6FDF91E4" wp14:editId="6C0279DE">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2C2121" w14:textId="77777777" w:rsidR="003C41E9" w:rsidRPr="003C41E9" w:rsidRDefault="003C41E9" w:rsidP="003C41E9">
      <w:pPr>
        <w:spacing w:after="120" w:line="360" w:lineRule="auto"/>
        <w:ind w:left="567" w:right="1695"/>
        <w:rPr>
          <w:rFonts w:ascii="Arial" w:hAnsi="Arial" w:cs="Arial"/>
          <w:bCs/>
          <w:color w:val="000000" w:themeColor="text1"/>
          <w:lang w:val="fr-FR"/>
        </w:rPr>
      </w:pPr>
      <w:r w:rsidRPr="003C41E9">
        <w:rPr>
          <w:rFonts w:ascii="Arial" w:hAnsi="Arial" w:cs="Arial"/>
          <w:bCs/>
          <w:color w:val="000000" w:themeColor="text1"/>
          <w:lang w:val="fr-FR"/>
        </w:rPr>
        <w:t>Les unités de dosage électriques performantes se règlent en continu</w:t>
      </w:r>
    </w:p>
    <w:p w14:paraId="4F07A062" w14:textId="7F298424" w:rsidR="00C120E2" w:rsidRPr="003C41E9" w:rsidRDefault="00C120E2" w:rsidP="00070765">
      <w:pPr>
        <w:spacing w:after="120" w:line="360" w:lineRule="auto"/>
        <w:ind w:left="567" w:right="1695"/>
        <w:rPr>
          <w:rFonts w:ascii="Arial" w:hAnsi="Arial" w:cs="Arial"/>
          <w:bCs/>
          <w:color w:val="000000" w:themeColor="text1"/>
          <w:lang w:val="fr-FR"/>
        </w:rPr>
      </w:pPr>
    </w:p>
    <w:p w14:paraId="76BF463F" w14:textId="360A1C08" w:rsidR="00C120E2" w:rsidRPr="003C41E9" w:rsidRDefault="00C120E2" w:rsidP="00070765">
      <w:pPr>
        <w:spacing w:after="120" w:line="360" w:lineRule="auto"/>
        <w:ind w:left="567" w:right="1695"/>
        <w:rPr>
          <w:rFonts w:ascii="Arial" w:hAnsi="Arial" w:cs="Arial"/>
          <w:bCs/>
          <w:color w:val="000000" w:themeColor="text1"/>
          <w:lang w:val="en-US"/>
        </w:rPr>
      </w:pPr>
    </w:p>
    <w:p w14:paraId="3CE2256A" w14:textId="4AC22A6D" w:rsidR="006D13F7" w:rsidRPr="003C41E9" w:rsidRDefault="006D13F7" w:rsidP="00070765">
      <w:pPr>
        <w:spacing w:after="120" w:line="360" w:lineRule="auto"/>
        <w:ind w:left="567" w:right="1695"/>
        <w:rPr>
          <w:rFonts w:ascii="Arial" w:hAnsi="Arial" w:cs="Arial"/>
          <w:bCs/>
          <w:color w:val="000000" w:themeColor="text1"/>
          <w:lang w:val="en-US"/>
        </w:rPr>
      </w:pPr>
    </w:p>
    <w:p w14:paraId="15E2660D" w14:textId="2971BB05" w:rsidR="006D13F7" w:rsidRPr="003C41E9" w:rsidRDefault="006D13F7" w:rsidP="00070765">
      <w:pPr>
        <w:spacing w:after="120" w:line="360" w:lineRule="auto"/>
        <w:ind w:left="567" w:right="1695"/>
        <w:rPr>
          <w:rFonts w:ascii="Arial" w:hAnsi="Arial" w:cs="Arial"/>
          <w:bCs/>
          <w:color w:val="000000" w:themeColor="text1"/>
          <w:lang w:val="en-US"/>
        </w:rPr>
      </w:pPr>
    </w:p>
    <w:p w14:paraId="0B206E6F" w14:textId="65FBE493" w:rsidR="006D13F7" w:rsidRPr="003C41E9" w:rsidRDefault="006D13F7" w:rsidP="00070765">
      <w:pPr>
        <w:spacing w:after="120" w:line="360" w:lineRule="auto"/>
        <w:ind w:left="567" w:right="1695"/>
        <w:rPr>
          <w:rFonts w:ascii="Arial" w:hAnsi="Arial" w:cs="Arial"/>
          <w:bCs/>
          <w:color w:val="000000" w:themeColor="text1"/>
        </w:rPr>
      </w:pPr>
      <w:r w:rsidRPr="003C41E9">
        <w:rPr>
          <w:rFonts w:ascii="Arial" w:hAnsi="Arial" w:cs="Arial"/>
          <w:bCs/>
          <w:noProof/>
          <w:color w:val="000000" w:themeColor="text1"/>
        </w:rPr>
        <w:lastRenderedPageBreak/>
        <w:drawing>
          <wp:inline distT="0" distB="0" distL="0" distR="0" wp14:anchorId="0B7CC953" wp14:editId="4E1B5254">
            <wp:extent cx="384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3531EF12" w14:textId="0620343F" w:rsidR="00921FE3" w:rsidRPr="003C41E9" w:rsidRDefault="003C41E9" w:rsidP="003C41E9">
      <w:pPr>
        <w:spacing w:after="120" w:line="360" w:lineRule="auto"/>
        <w:ind w:left="567" w:right="1695"/>
        <w:rPr>
          <w:rFonts w:ascii="Arial" w:hAnsi="Arial" w:cs="Arial"/>
          <w:bCs/>
          <w:color w:val="000000" w:themeColor="text1"/>
          <w:lang w:val="fr-FR"/>
        </w:rPr>
      </w:pPr>
      <w:r w:rsidRPr="003C41E9">
        <w:rPr>
          <w:rFonts w:ascii="Arial" w:hAnsi="Arial" w:cs="Arial"/>
          <w:bCs/>
          <w:color w:val="000000" w:themeColor="text1"/>
          <w:lang w:val="fr-FR"/>
        </w:rPr>
        <w:t xml:space="preserve">Le nouveau </w:t>
      </w:r>
      <w:proofErr w:type="spellStart"/>
      <w:r w:rsidRPr="003C41E9">
        <w:rPr>
          <w:rFonts w:ascii="Arial" w:hAnsi="Arial" w:cs="Arial"/>
          <w:bCs/>
          <w:color w:val="000000" w:themeColor="text1"/>
          <w:lang w:val="fr-FR"/>
        </w:rPr>
        <w:t>Centaya</w:t>
      </w:r>
      <w:proofErr w:type="spellEnd"/>
      <w:r w:rsidRPr="003C41E9">
        <w:rPr>
          <w:rFonts w:ascii="Arial" w:hAnsi="Arial" w:cs="Arial"/>
          <w:bCs/>
          <w:color w:val="000000" w:themeColor="text1"/>
          <w:lang w:val="fr-FR"/>
        </w:rPr>
        <w:t>-C Super AMAZONE permet d’appliquer plusieurs produits par le biais de la trémie 2 compartiments de 2 000 l.</w:t>
      </w:r>
    </w:p>
    <w:p w14:paraId="3031096C" w14:textId="13C2427F" w:rsidR="00921FE3" w:rsidRPr="003C41E9" w:rsidRDefault="00921FE3" w:rsidP="00070765">
      <w:pPr>
        <w:spacing w:after="120" w:line="360" w:lineRule="auto"/>
        <w:ind w:left="567" w:right="1695"/>
        <w:rPr>
          <w:rFonts w:ascii="Arial" w:hAnsi="Arial" w:cs="Arial"/>
          <w:bCs/>
          <w:color w:val="000000" w:themeColor="text1"/>
          <w:lang w:val="en-US"/>
        </w:rPr>
      </w:pPr>
    </w:p>
    <w:p w14:paraId="1E7DABF3" w14:textId="77777777" w:rsidR="00AB1F62" w:rsidRPr="003C41E9" w:rsidRDefault="00AB1F62" w:rsidP="00070765">
      <w:pPr>
        <w:spacing w:after="120" w:line="360" w:lineRule="auto"/>
        <w:ind w:left="567" w:right="1695"/>
        <w:rPr>
          <w:rFonts w:ascii="Arial" w:hAnsi="Arial" w:cs="Arial"/>
          <w:bCs/>
          <w:color w:val="000000" w:themeColor="text1"/>
          <w:lang w:val="en-US"/>
        </w:rPr>
      </w:pPr>
    </w:p>
    <w:p w14:paraId="027EFE74" w14:textId="093244B3" w:rsidR="00921FE3" w:rsidRPr="003C41E9" w:rsidRDefault="00921FE3" w:rsidP="00070765">
      <w:pPr>
        <w:spacing w:after="120" w:line="360" w:lineRule="auto"/>
        <w:ind w:left="567" w:right="1695"/>
        <w:rPr>
          <w:rFonts w:ascii="Arial" w:hAnsi="Arial" w:cs="Arial"/>
          <w:bCs/>
          <w:color w:val="000000" w:themeColor="text1"/>
          <w:lang w:val="en-US"/>
        </w:rPr>
      </w:pPr>
    </w:p>
    <w:p w14:paraId="68927A70" w14:textId="0212B404" w:rsidR="007079EE" w:rsidRDefault="00AB1F62" w:rsidP="006A7977">
      <w:pPr>
        <w:spacing w:after="120" w:line="360" w:lineRule="auto"/>
        <w:ind w:left="567" w:right="1695"/>
        <w:rPr>
          <w:rFonts w:ascii="Arial" w:hAnsi="Arial" w:cs="Arial"/>
          <w:bCs/>
          <w:color w:val="000000" w:themeColor="text1"/>
        </w:rPr>
      </w:pPr>
      <w:r w:rsidRPr="003C41E9">
        <w:rPr>
          <w:rFonts w:ascii="Arial" w:hAnsi="Arial" w:cs="Arial"/>
          <w:bCs/>
          <w:noProof/>
          <w:color w:val="000000" w:themeColor="text1"/>
        </w:rPr>
        <w:drawing>
          <wp:inline distT="0" distB="0" distL="0" distR="0" wp14:anchorId="7D989A9D" wp14:editId="688204C9">
            <wp:extent cx="6120000" cy="2898000"/>
            <wp:effectExtent l="0" t="0" r="190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898000"/>
                    </a:xfrm>
                    <a:prstGeom prst="rect">
                      <a:avLst/>
                    </a:prstGeom>
                  </pic:spPr>
                </pic:pic>
              </a:graphicData>
            </a:graphic>
          </wp:inline>
        </w:drawing>
      </w:r>
    </w:p>
    <w:p w14:paraId="2290A83D" w14:textId="2292FB24" w:rsidR="006A7977" w:rsidRDefault="006A7977" w:rsidP="006A7977">
      <w:pPr>
        <w:spacing w:after="120" w:line="360" w:lineRule="auto"/>
        <w:ind w:left="567" w:right="1695"/>
        <w:rPr>
          <w:rFonts w:ascii="Arial" w:hAnsi="Arial" w:cs="Arial"/>
          <w:bCs/>
          <w:color w:val="000000" w:themeColor="text1"/>
        </w:rPr>
      </w:pPr>
    </w:p>
    <w:p w14:paraId="7BB9496C" w14:textId="77777777" w:rsidR="006A7977" w:rsidRPr="006A7977" w:rsidRDefault="006A7977" w:rsidP="006A7977">
      <w:pPr>
        <w:spacing w:after="120" w:line="360" w:lineRule="auto"/>
        <w:ind w:left="567" w:right="1695"/>
        <w:rPr>
          <w:rFonts w:ascii="Arial" w:hAnsi="Arial" w:cs="Arial"/>
          <w:bCs/>
          <w:color w:val="000000" w:themeColor="text1"/>
        </w:rPr>
      </w:pPr>
    </w:p>
    <w:p w14:paraId="3291731C" w14:textId="77777777" w:rsidR="005C60D1" w:rsidRPr="00BF556D" w:rsidRDefault="005C60D1" w:rsidP="005C60D1">
      <w:pPr>
        <w:tabs>
          <w:tab w:val="left" w:pos="3550"/>
        </w:tabs>
        <w:spacing w:line="360" w:lineRule="auto"/>
        <w:ind w:left="567" w:right="1128"/>
        <w:rPr>
          <w:rFonts w:ascii="Arial" w:hAnsi="Arial"/>
          <w:color w:val="808080" w:themeColor="background1" w:themeShade="80"/>
          <w:sz w:val="20"/>
          <w:lang w:val="fr-FR"/>
        </w:rPr>
      </w:pPr>
      <w:r w:rsidRPr="00BF556D">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10F9C993" w14:textId="77777777" w:rsidR="005C60D1" w:rsidRPr="00BF556D" w:rsidRDefault="005C60D1" w:rsidP="005C60D1">
      <w:pPr>
        <w:tabs>
          <w:tab w:val="left" w:pos="3550"/>
        </w:tabs>
        <w:spacing w:line="360" w:lineRule="auto"/>
        <w:ind w:left="567" w:right="1128"/>
        <w:rPr>
          <w:rFonts w:ascii="Arial" w:hAnsi="Arial"/>
          <w:b/>
          <w:color w:val="808080" w:themeColor="background1" w:themeShade="80"/>
          <w:sz w:val="20"/>
          <w:lang w:val="fr-FR"/>
        </w:rPr>
      </w:pPr>
    </w:p>
    <w:p w14:paraId="59B6BC0E" w14:textId="77777777" w:rsidR="005C60D1" w:rsidRPr="00BF556D" w:rsidRDefault="005C60D1" w:rsidP="005C60D1">
      <w:pPr>
        <w:tabs>
          <w:tab w:val="left" w:pos="3550"/>
        </w:tabs>
        <w:spacing w:line="360" w:lineRule="auto"/>
        <w:ind w:left="567" w:right="1128"/>
        <w:rPr>
          <w:rFonts w:ascii="Arial" w:hAnsi="Arial" w:cs="Arial"/>
          <w:b/>
          <w:bCs/>
          <w:color w:val="808080" w:themeColor="background1" w:themeShade="80"/>
          <w:sz w:val="20"/>
          <w:szCs w:val="20"/>
          <w:lang w:val="fr-FR"/>
        </w:rPr>
      </w:pPr>
      <w:r w:rsidRPr="00BF556D">
        <w:rPr>
          <w:rFonts w:ascii="Arial" w:hAnsi="Arial"/>
          <w:b/>
          <w:color w:val="808080" w:themeColor="background1" w:themeShade="80"/>
          <w:sz w:val="20"/>
          <w:lang w:val="fr-FR"/>
        </w:rPr>
        <w:t>A propos de la société AMAZONE</w:t>
      </w:r>
    </w:p>
    <w:p w14:paraId="52595301" w14:textId="77777777" w:rsidR="005C60D1" w:rsidRPr="00BF556D" w:rsidRDefault="005C60D1" w:rsidP="005C60D1">
      <w:pPr>
        <w:tabs>
          <w:tab w:val="left" w:pos="3550"/>
        </w:tabs>
        <w:spacing w:line="360" w:lineRule="auto"/>
        <w:ind w:left="567" w:right="1128"/>
        <w:rPr>
          <w:rFonts w:ascii="Arial" w:hAnsi="Arial" w:cs="Arial"/>
          <w:bCs/>
          <w:color w:val="808080" w:themeColor="background1" w:themeShade="80"/>
          <w:sz w:val="20"/>
          <w:szCs w:val="20"/>
          <w:lang w:val="fr-FR"/>
        </w:rPr>
      </w:pPr>
      <w:r w:rsidRPr="00BF556D">
        <w:rPr>
          <w:rFonts w:ascii="Arial" w:hAnsi="Arial"/>
          <w:color w:val="808080" w:themeColor="background1" w:themeShade="80"/>
          <w:sz w:val="20"/>
          <w:lang w:val="fr-FR"/>
        </w:rPr>
        <w:t xml:space="preserve">Les AMAZONEN-WERKE H. Dreyer SE &amp; Co. KG dont le siège principal se situe à 49205 </w:t>
      </w:r>
      <w:proofErr w:type="spellStart"/>
      <w:r w:rsidRPr="00BF556D">
        <w:rPr>
          <w:rFonts w:ascii="Arial" w:hAnsi="Arial"/>
          <w:color w:val="808080" w:themeColor="background1" w:themeShade="80"/>
          <w:sz w:val="20"/>
          <w:lang w:val="fr-FR"/>
        </w:rPr>
        <w:t>Hasbergen-Gaste</w:t>
      </w:r>
      <w:proofErr w:type="spellEnd"/>
      <w:r w:rsidRPr="00BF556D">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4" w:history="1">
        <w:r w:rsidRPr="00BF556D">
          <w:rPr>
            <w:rStyle w:val="Hyperlink"/>
            <w:rFonts w:ascii="Arial" w:hAnsi="Arial"/>
            <w:color w:val="808080" w:themeColor="background1" w:themeShade="80"/>
            <w:sz w:val="20"/>
            <w:lang w:val="fr-FR"/>
          </w:rPr>
          <w:t>www.amazone.net/fr</w:t>
        </w:r>
      </w:hyperlink>
    </w:p>
    <w:p w14:paraId="47D2391C" w14:textId="77777777" w:rsidR="005C60D1" w:rsidRPr="00BF556D" w:rsidRDefault="005C60D1" w:rsidP="005C60D1">
      <w:pPr>
        <w:tabs>
          <w:tab w:val="left" w:pos="3550"/>
        </w:tabs>
        <w:spacing w:line="360" w:lineRule="auto"/>
        <w:ind w:left="567" w:right="1128"/>
        <w:rPr>
          <w:rFonts w:ascii="Arial" w:hAnsi="Arial" w:cs="Arial"/>
          <w:bCs/>
          <w:color w:val="FF0000"/>
          <w:sz w:val="20"/>
          <w:szCs w:val="20"/>
          <w:lang w:val="fr-FR"/>
        </w:rPr>
      </w:pPr>
      <w:r w:rsidRPr="00BF556D">
        <w:rPr>
          <w:noProof/>
          <w:color w:val="FF0000"/>
          <w:lang w:val="fr-FR"/>
        </w:rPr>
        <w:drawing>
          <wp:inline distT="0" distB="0" distL="0" distR="0" wp14:anchorId="66E5C8A7" wp14:editId="184F9493">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40038014" wp14:editId="61554D5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2084E6C9" wp14:editId="2596813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19E8E14C" wp14:editId="1617D5D0">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2B723EB1" wp14:editId="58DBD3A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p>
    <w:p w14:paraId="252D2E94" w14:textId="2578C6A7" w:rsidR="00A46482" w:rsidRPr="003C41E9" w:rsidRDefault="00A46482" w:rsidP="002707D4">
      <w:pPr>
        <w:tabs>
          <w:tab w:val="left" w:pos="3550"/>
        </w:tabs>
        <w:spacing w:line="360" w:lineRule="auto"/>
        <w:ind w:left="567" w:right="2262"/>
        <w:rPr>
          <w:rFonts w:ascii="Arial" w:hAnsi="Arial" w:cs="Arial"/>
          <w:bCs/>
          <w:color w:val="000000" w:themeColor="text1"/>
          <w:sz w:val="20"/>
          <w:szCs w:val="20"/>
        </w:rPr>
      </w:pPr>
    </w:p>
    <w:sectPr w:rsidR="00A46482" w:rsidRPr="003C41E9"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4D8EBA" w14:textId="77777777" w:rsidR="008246F5" w:rsidRDefault="008246F5">
      <w:r>
        <w:separator/>
      </w:r>
    </w:p>
  </w:endnote>
  <w:endnote w:type="continuationSeparator" w:id="0">
    <w:p w14:paraId="0FE53130" w14:textId="77777777" w:rsidR="008246F5" w:rsidRDefault="00824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3BF956" w14:textId="77777777" w:rsidR="007E6BE1" w:rsidRPr="0093254A" w:rsidRDefault="007E6BE1" w:rsidP="007E6BE1">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3ED93BE6" w14:textId="77777777" w:rsidR="007E6BE1" w:rsidRPr="0093254A" w:rsidRDefault="007E6BE1" w:rsidP="007E6BE1">
                          <w:pPr>
                            <w:ind w:right="57"/>
                            <w:jc w:val="right"/>
                            <w:rPr>
                              <w:rFonts w:ascii="Arial" w:hAnsi="Arial"/>
                              <w:sz w:val="20"/>
                            </w:rPr>
                          </w:pPr>
                        </w:p>
                        <w:p w14:paraId="0F7BE6E8" w14:textId="463AA796"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533BF956" w14:textId="77777777" w:rsidR="007E6BE1" w:rsidRPr="0093254A" w:rsidRDefault="007E6BE1" w:rsidP="007E6BE1">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3ED93BE6" w14:textId="77777777" w:rsidR="007E6BE1" w:rsidRPr="0093254A" w:rsidRDefault="007E6BE1" w:rsidP="007E6BE1">
                    <w:pPr>
                      <w:ind w:right="57"/>
                      <w:jc w:val="right"/>
                      <w:rPr>
                        <w:rFonts w:ascii="Arial" w:hAnsi="Arial"/>
                        <w:sz w:val="20"/>
                      </w:rPr>
                    </w:pPr>
                  </w:p>
                  <w:p w14:paraId="0F7BE6E8" w14:textId="463AA796"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4D3B28" w14:textId="77777777" w:rsidR="007E6BE1" w:rsidRPr="0093254A" w:rsidRDefault="007E6BE1" w:rsidP="007E6BE1">
                          <w:pPr>
                            <w:spacing w:line="280" w:lineRule="exact"/>
                            <w:rPr>
                              <w:rFonts w:ascii="Arial" w:hAnsi="Arial"/>
                              <w:spacing w:val="2"/>
                              <w:sz w:val="20"/>
                            </w:rPr>
                          </w:pPr>
                          <w:r>
                            <w:rPr>
                              <w:rFonts w:ascii="Arial" w:hAnsi="Arial"/>
                              <w:sz w:val="20"/>
                            </w:rPr>
                            <w:t>AMAZONEN-WERKE H. DREYER SE &amp; Co. KG ∙ Am Amazonenwerk 9–13 ∙ D-49205 Hasbergen-Gaste</w:t>
                          </w:r>
                        </w:p>
                        <w:p w14:paraId="4DE331F1" w14:textId="77777777" w:rsidR="007E6BE1" w:rsidRPr="00882C27" w:rsidRDefault="007E6BE1" w:rsidP="007E6BE1">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1FFFBE2C" w14:textId="77777777" w:rsidR="007E6BE1" w:rsidRPr="00882C27" w:rsidRDefault="007E6BE1" w:rsidP="007E6BE1">
                          <w:pPr>
                            <w:spacing w:line="280" w:lineRule="exact"/>
                            <w:rPr>
                              <w:rFonts w:ascii="Arial" w:hAnsi="Arial"/>
                              <w:spacing w:val="2"/>
                              <w:sz w:val="20"/>
                              <w:lang w:val="fr-FR"/>
                            </w:rPr>
                          </w:pPr>
                        </w:p>
                        <w:p w14:paraId="60FD3ABD" w14:textId="15D17A4B" w:rsidR="005E0980" w:rsidRPr="007E6BE1"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204D3B28" w14:textId="77777777" w:rsidR="007E6BE1" w:rsidRPr="0093254A" w:rsidRDefault="007E6BE1" w:rsidP="007E6BE1">
                    <w:pPr>
                      <w:spacing w:line="280" w:lineRule="exact"/>
                      <w:rPr>
                        <w:rFonts w:ascii="Arial" w:hAnsi="Arial"/>
                        <w:spacing w:val="2"/>
                        <w:sz w:val="20"/>
                      </w:rPr>
                    </w:pPr>
                    <w:r>
                      <w:rPr>
                        <w:rFonts w:ascii="Arial" w:hAnsi="Arial"/>
                        <w:sz w:val="20"/>
                      </w:rPr>
                      <w:t>AMAZONEN-WERKE H. DREYER SE &amp; Co. KG ∙ Am Amazonenwerk 9–13 ∙ D-49205 Hasbergen-Gaste</w:t>
                    </w:r>
                  </w:p>
                  <w:p w14:paraId="4DE331F1" w14:textId="77777777" w:rsidR="007E6BE1" w:rsidRPr="00882C27" w:rsidRDefault="007E6BE1" w:rsidP="007E6BE1">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1FFFBE2C" w14:textId="77777777" w:rsidR="007E6BE1" w:rsidRPr="00882C27" w:rsidRDefault="007E6BE1" w:rsidP="007E6BE1">
                    <w:pPr>
                      <w:spacing w:line="280" w:lineRule="exact"/>
                      <w:rPr>
                        <w:rFonts w:ascii="Arial" w:hAnsi="Arial"/>
                        <w:spacing w:val="2"/>
                        <w:sz w:val="20"/>
                        <w:lang w:val="fr-FR"/>
                      </w:rPr>
                    </w:pPr>
                  </w:p>
                  <w:p w14:paraId="60FD3ABD" w14:textId="15D17A4B" w:rsidR="005E0980" w:rsidRPr="007E6BE1"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CBEDE" w14:textId="77777777" w:rsidR="008246F5" w:rsidRDefault="008246F5">
      <w:r>
        <w:separator/>
      </w:r>
    </w:p>
  </w:footnote>
  <w:footnote w:type="continuationSeparator" w:id="0">
    <w:p w14:paraId="58E0D3E4" w14:textId="77777777" w:rsidR="008246F5" w:rsidRDefault="008246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CFF523A"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A026E9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AAD83A"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841"/>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07D4"/>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1ED5"/>
    <w:rsid w:val="002F3F80"/>
    <w:rsid w:val="002F53E9"/>
    <w:rsid w:val="002F54BD"/>
    <w:rsid w:val="002F58F1"/>
    <w:rsid w:val="002F5B4F"/>
    <w:rsid w:val="002F6BC8"/>
    <w:rsid w:val="0030035B"/>
    <w:rsid w:val="00300C6C"/>
    <w:rsid w:val="00302020"/>
    <w:rsid w:val="003041D2"/>
    <w:rsid w:val="00306834"/>
    <w:rsid w:val="00306BA2"/>
    <w:rsid w:val="00306DAB"/>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41E9"/>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1945"/>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0D1"/>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977"/>
    <w:rsid w:val="006A7C72"/>
    <w:rsid w:val="006B0021"/>
    <w:rsid w:val="006B05AC"/>
    <w:rsid w:val="006B2B3F"/>
    <w:rsid w:val="006B6D05"/>
    <w:rsid w:val="006C12AF"/>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26B88"/>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0E2C"/>
    <w:rsid w:val="007D19B6"/>
    <w:rsid w:val="007D4553"/>
    <w:rsid w:val="007D56A1"/>
    <w:rsid w:val="007D69F3"/>
    <w:rsid w:val="007D6E77"/>
    <w:rsid w:val="007E04C6"/>
    <w:rsid w:val="007E0615"/>
    <w:rsid w:val="007E1B2B"/>
    <w:rsid w:val="007E6BE1"/>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6F5"/>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C95"/>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3611"/>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562"/>
    <w:rsid w:val="00DF6639"/>
    <w:rsid w:val="00DF7498"/>
    <w:rsid w:val="00DF7522"/>
    <w:rsid w:val="00E00430"/>
    <w:rsid w:val="00E01FD6"/>
    <w:rsid w:val="00E02C03"/>
    <w:rsid w:val="00E02DA7"/>
    <w:rsid w:val="00E0456D"/>
    <w:rsid w:val="00E12CE4"/>
    <w:rsid w:val="00E12DCB"/>
    <w:rsid w:val="00E14A21"/>
    <w:rsid w:val="00E166CB"/>
    <w:rsid w:val="00E210CD"/>
    <w:rsid w:val="00E2251E"/>
    <w:rsid w:val="00E236C2"/>
    <w:rsid w:val="00E247DB"/>
    <w:rsid w:val="00E25D8E"/>
    <w:rsid w:val="00E260F9"/>
    <w:rsid w:val="00E266A2"/>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51B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889</Words>
  <Characters>5605</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