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C1827" w14:textId="16AD22B7" w:rsidR="009477A9" w:rsidRPr="00231069" w:rsidRDefault="009477A9" w:rsidP="009477A9">
      <w:pPr>
        <w:spacing w:after="120" w:line="360" w:lineRule="auto"/>
        <w:ind w:left="567" w:right="1695"/>
        <w:rPr>
          <w:rFonts w:ascii="Arial" w:hAnsi="Arial" w:cs="Arial"/>
          <w:b/>
          <w:bCs/>
          <w:sz w:val="28"/>
          <w:szCs w:val="28"/>
        </w:rPr>
      </w:pPr>
      <w:r>
        <w:rPr>
          <w:rFonts w:ascii="Arial" w:hAnsi="Arial"/>
          <w:b/>
          <w:sz w:val="28"/>
        </w:rPr>
        <w:t>New AMAZONE 360 mm wing share for Cenio and Cenius mounted cultivators</w:t>
      </w:r>
      <w:r w:rsidR="004968E9">
        <w:rPr>
          <w:rFonts w:ascii="Arial" w:hAnsi="Arial"/>
          <w:b/>
          <w:sz w:val="28"/>
        </w:rPr>
        <w:t xml:space="preserve"> </w:t>
      </w:r>
    </w:p>
    <w:p w14:paraId="65EA582A" w14:textId="77777777" w:rsidR="00161FDD" w:rsidRDefault="00161FDD" w:rsidP="00161FDD">
      <w:pPr>
        <w:spacing w:line="360" w:lineRule="auto"/>
        <w:ind w:left="567" w:right="1695"/>
        <w:rPr>
          <w:rFonts w:ascii="Arial" w:hAnsi="Arial" w:cs="Arial"/>
        </w:rPr>
      </w:pPr>
    </w:p>
    <w:p w14:paraId="12A7CFD6" w14:textId="77777777" w:rsidR="009477A9" w:rsidRDefault="009477A9" w:rsidP="009477A9">
      <w:pPr>
        <w:spacing w:after="120" w:line="360" w:lineRule="auto"/>
        <w:ind w:left="567" w:right="1695"/>
        <w:rPr>
          <w:rFonts w:ascii="Arial" w:eastAsia="Arial" w:hAnsi="Arial" w:cs="Arial"/>
        </w:rPr>
      </w:pPr>
      <w:r>
        <w:rPr>
          <w:rFonts w:ascii="Arial" w:hAnsi="Arial"/>
        </w:rPr>
        <w:t>The new AMAZONE wing share for the Cenio and Cenius mounted cultivators is now available in a width of 360 mm. The wing share also enables full-surface and shallow cutting of stubble with a mulch cultivator, thereby breaking the capillarity of the soil. This reduces the drying of the soil in the summer. Furthermore, volunteer grains and weed seeds have perfect germination conditions as a result of the shallow cultivation.</w:t>
      </w:r>
    </w:p>
    <w:p w14:paraId="7EEF71DB" w14:textId="77777777" w:rsidR="009477A9" w:rsidRPr="009477A9" w:rsidRDefault="009477A9" w:rsidP="009477A9">
      <w:pPr>
        <w:spacing w:after="120" w:line="360" w:lineRule="auto"/>
        <w:ind w:left="567" w:right="1695"/>
        <w:rPr>
          <w:rFonts w:ascii="Arial" w:eastAsia="Arial" w:hAnsi="Arial" w:cs="Arial"/>
        </w:rPr>
      </w:pPr>
    </w:p>
    <w:p w14:paraId="4ADCF66B" w14:textId="77777777" w:rsidR="009477A9" w:rsidRPr="009477A9" w:rsidRDefault="009477A9" w:rsidP="009477A9">
      <w:pPr>
        <w:spacing w:after="120" w:line="360" w:lineRule="auto"/>
        <w:ind w:left="567" w:right="1695"/>
        <w:rPr>
          <w:rFonts w:ascii="Arial" w:eastAsia="Arial" w:hAnsi="Arial" w:cs="Arial"/>
          <w:b/>
          <w:bCs/>
        </w:rPr>
      </w:pPr>
      <w:r>
        <w:rPr>
          <w:rFonts w:ascii="Arial" w:hAnsi="Arial"/>
          <w:b/>
        </w:rPr>
        <w:t>Wing share with 3 different mounting positions</w:t>
      </w:r>
    </w:p>
    <w:p w14:paraId="19E6511F" w14:textId="77777777" w:rsidR="009477A9" w:rsidRPr="009477A9" w:rsidRDefault="009477A9" w:rsidP="009477A9">
      <w:pPr>
        <w:spacing w:after="120" w:line="360" w:lineRule="auto"/>
        <w:ind w:left="567" w:right="1695"/>
        <w:rPr>
          <w:rFonts w:ascii="Arial" w:eastAsia="Arial" w:hAnsi="Arial" w:cs="Arial"/>
        </w:rPr>
      </w:pPr>
      <w:r>
        <w:rPr>
          <w:rFonts w:ascii="Arial" w:hAnsi="Arial"/>
        </w:rPr>
        <w:t xml:space="preserve">The 360 mm wide wing share can be fixed to the tines on the Cenius and Cenio mounted mulch cultivators in 3 different positions and thus with various heights and angles. </w:t>
      </w:r>
    </w:p>
    <w:p w14:paraId="33C2DB78" w14:textId="77777777" w:rsidR="009477A9" w:rsidRPr="009477A9" w:rsidRDefault="009477A9" w:rsidP="009477A9">
      <w:pPr>
        <w:spacing w:after="120" w:line="360" w:lineRule="auto"/>
        <w:ind w:left="567" w:right="1695"/>
        <w:rPr>
          <w:rFonts w:ascii="Arial" w:eastAsia="Arial" w:hAnsi="Arial" w:cs="Arial"/>
        </w:rPr>
      </w:pPr>
    </w:p>
    <w:p w14:paraId="556A4FD4" w14:textId="77777777" w:rsidR="009477A9" w:rsidRPr="009477A9" w:rsidRDefault="009477A9" w:rsidP="009477A9">
      <w:pPr>
        <w:spacing w:after="120" w:line="360" w:lineRule="auto"/>
        <w:ind w:left="567" w:right="1695"/>
        <w:rPr>
          <w:rFonts w:ascii="Arial" w:eastAsia="Arial" w:hAnsi="Arial" w:cs="Arial"/>
        </w:rPr>
      </w:pPr>
      <w:r>
        <w:rPr>
          <w:rFonts w:ascii="Arial" w:hAnsi="Arial"/>
        </w:rPr>
        <w:t>The wing share can be mounted in the lowest of the series of holes in the tines for shallow cutting of cereal stubbles. In this case, the wing share is almost parallel to the soil, which allows shallow working from 5 cm to 15 cm.</w:t>
      </w:r>
    </w:p>
    <w:p w14:paraId="6A854B8F" w14:textId="77777777" w:rsidR="009477A9" w:rsidRPr="009477A9" w:rsidRDefault="009477A9" w:rsidP="009477A9">
      <w:pPr>
        <w:spacing w:after="120" w:line="360" w:lineRule="auto"/>
        <w:ind w:left="567" w:right="1695"/>
        <w:rPr>
          <w:rFonts w:ascii="Arial" w:eastAsia="Arial" w:hAnsi="Arial" w:cs="Arial"/>
        </w:rPr>
      </w:pPr>
    </w:p>
    <w:p w14:paraId="16B09B19" w14:textId="77777777" w:rsidR="009477A9" w:rsidRPr="009477A9" w:rsidRDefault="009477A9" w:rsidP="009477A9">
      <w:pPr>
        <w:spacing w:after="120" w:line="360" w:lineRule="auto"/>
        <w:ind w:left="567" w:right="1695"/>
        <w:rPr>
          <w:rFonts w:ascii="Arial" w:eastAsia="Arial" w:hAnsi="Arial" w:cs="Arial"/>
        </w:rPr>
      </w:pPr>
      <w:r>
        <w:rPr>
          <w:rFonts w:ascii="Arial" w:hAnsi="Arial"/>
        </w:rPr>
        <w:t xml:space="preserve">If the soil is very hard due to dry conditions, it may be more difficult to pull in a mulch cultivator with this very low attachment of the wing share. The second mounting position of the wing share is provided for this reason. The wing shares are bolted on slightly higher in this position than in the first hole. As a result of the higher mounting position, the point works deeper than the wing share and thus generates a higher undercut with easier pull-in. </w:t>
      </w:r>
    </w:p>
    <w:p w14:paraId="103AC203" w14:textId="77777777" w:rsidR="009477A9" w:rsidRPr="009477A9" w:rsidRDefault="009477A9" w:rsidP="009477A9">
      <w:pPr>
        <w:spacing w:after="120" w:line="360" w:lineRule="auto"/>
        <w:ind w:left="567" w:right="1695"/>
        <w:rPr>
          <w:rFonts w:ascii="Arial" w:eastAsia="Arial" w:hAnsi="Arial" w:cs="Arial"/>
        </w:rPr>
      </w:pPr>
    </w:p>
    <w:p w14:paraId="39319BD9" w14:textId="77777777" w:rsidR="009477A9" w:rsidRPr="009477A9" w:rsidRDefault="009477A9" w:rsidP="009477A9">
      <w:pPr>
        <w:spacing w:after="120" w:line="360" w:lineRule="auto"/>
        <w:ind w:left="567" w:right="1695"/>
        <w:rPr>
          <w:rFonts w:ascii="Arial" w:eastAsia="Arial" w:hAnsi="Arial" w:cs="Arial"/>
        </w:rPr>
      </w:pPr>
      <w:r>
        <w:rPr>
          <w:rFonts w:ascii="Arial" w:hAnsi="Arial"/>
        </w:rPr>
        <w:t xml:space="preserve">The third mounting position of the wing shares is available for a more intensive incorporation and mixing of the soil. In this position, the wings are set at a steeper angle of attack compared to the second position. This angle of attack </w:t>
      </w:r>
      <w:r>
        <w:rPr>
          <w:rFonts w:ascii="Arial" w:hAnsi="Arial"/>
        </w:rPr>
        <w:lastRenderedPageBreak/>
        <w:t>causes the organic matter to be mixed even more intensively into the soil by the cultivator, further promoting the decomposition process.</w:t>
      </w:r>
    </w:p>
    <w:p w14:paraId="3F34947F" w14:textId="77777777" w:rsidR="009477A9" w:rsidRPr="009477A9" w:rsidRDefault="009477A9" w:rsidP="009477A9">
      <w:pPr>
        <w:spacing w:after="120" w:line="360" w:lineRule="auto"/>
        <w:ind w:left="567" w:right="1695"/>
        <w:rPr>
          <w:rFonts w:ascii="Arial" w:eastAsia="Arial" w:hAnsi="Arial" w:cs="Arial"/>
        </w:rPr>
      </w:pPr>
    </w:p>
    <w:p w14:paraId="1591FB85" w14:textId="5F319C9C" w:rsidR="00161FDD" w:rsidRDefault="009477A9" w:rsidP="009477A9">
      <w:pPr>
        <w:spacing w:after="120" w:line="360" w:lineRule="auto"/>
        <w:ind w:left="567" w:right="1695"/>
        <w:rPr>
          <w:rFonts w:ascii="Arial" w:eastAsia="Arial" w:hAnsi="Arial" w:cs="Arial"/>
        </w:rPr>
      </w:pPr>
      <w:r>
        <w:rPr>
          <w:rFonts w:ascii="Arial" w:hAnsi="Arial"/>
        </w:rPr>
        <w:t>The 3 mounting positions of the wing shares enable the mulch cultivator to be used even more universally on farms, especially on those with very variable soils.</w:t>
      </w:r>
    </w:p>
    <w:p w14:paraId="1C6ACD29" w14:textId="77777777" w:rsidR="00161FDD" w:rsidRDefault="00161FDD" w:rsidP="00161FDD">
      <w:pPr>
        <w:spacing w:after="120" w:line="360" w:lineRule="auto"/>
        <w:ind w:left="567" w:right="1695"/>
        <w:rPr>
          <w:rFonts w:ascii="Arial" w:eastAsia="Arial" w:hAnsi="Arial" w:cs="Arial"/>
        </w:rPr>
      </w:pPr>
    </w:p>
    <w:p w14:paraId="055346D6" w14:textId="77777777" w:rsidR="009477A9" w:rsidRDefault="009477A9" w:rsidP="00161FDD">
      <w:pPr>
        <w:spacing w:after="120" w:line="360" w:lineRule="auto"/>
        <w:ind w:left="567" w:right="1695"/>
        <w:rPr>
          <w:rFonts w:ascii="Arial" w:eastAsia="Arial" w:hAnsi="Arial" w:cs="Arial"/>
        </w:rPr>
      </w:pPr>
    </w:p>
    <w:p w14:paraId="484D63B1" w14:textId="77777777" w:rsidR="00161FDD" w:rsidRDefault="00161FDD" w:rsidP="00161FDD">
      <w:pPr>
        <w:spacing w:after="120" w:line="360" w:lineRule="auto"/>
        <w:ind w:left="567" w:right="1695"/>
        <w:rPr>
          <w:rFonts w:ascii="Arial" w:eastAsia="Arial" w:hAnsi="Arial" w:cs="Arial"/>
        </w:rPr>
      </w:pPr>
      <w:r>
        <w:rPr>
          <w:rFonts w:ascii="Arial" w:hAnsi="Arial"/>
          <w:noProof/>
        </w:rPr>
        <w:drawing>
          <wp:inline distT="0" distB="0" distL="0" distR="0" wp14:anchorId="29E6421E" wp14:editId="018330CD">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081FFE00" w14:textId="1049F24E" w:rsidR="009477A9" w:rsidRPr="00D90259" w:rsidRDefault="009477A9" w:rsidP="00D90259">
      <w:pPr>
        <w:pStyle w:val="Listenabsatz"/>
        <w:numPr>
          <w:ilvl w:val="0"/>
          <w:numId w:val="11"/>
        </w:numPr>
        <w:spacing w:after="120" w:line="360" w:lineRule="auto"/>
        <w:ind w:right="1695"/>
        <w:rPr>
          <w:rFonts w:ascii="Arial" w:eastAsia="Arial" w:hAnsi="Arial" w:cs="Arial"/>
        </w:rPr>
      </w:pPr>
      <w:r>
        <w:rPr>
          <w:rFonts w:ascii="Arial" w:hAnsi="Arial"/>
        </w:rPr>
        <w:t>Enables more universal use of the mulch cultivator</w:t>
      </w:r>
    </w:p>
    <w:p w14:paraId="4E5FF607" w14:textId="120B091C" w:rsidR="009477A9" w:rsidRPr="00D90259" w:rsidRDefault="009477A9" w:rsidP="00D90259">
      <w:pPr>
        <w:pStyle w:val="Listenabsatz"/>
        <w:numPr>
          <w:ilvl w:val="0"/>
          <w:numId w:val="11"/>
        </w:numPr>
        <w:spacing w:after="120" w:line="360" w:lineRule="auto"/>
        <w:ind w:right="1695"/>
        <w:rPr>
          <w:rFonts w:ascii="Arial" w:eastAsia="Arial" w:hAnsi="Arial" w:cs="Arial"/>
        </w:rPr>
      </w:pPr>
      <w:r>
        <w:rPr>
          <w:rFonts w:ascii="Arial" w:hAnsi="Arial"/>
        </w:rPr>
        <w:t>Improves the working quality when full-surface cutting of stubbles as a result of the shallow angle of attack of the wing</w:t>
      </w:r>
    </w:p>
    <w:p w14:paraId="526E54F1" w14:textId="6574294F" w:rsidR="009477A9" w:rsidRPr="00D90259" w:rsidRDefault="009477A9" w:rsidP="00D90259">
      <w:pPr>
        <w:pStyle w:val="Listenabsatz"/>
        <w:numPr>
          <w:ilvl w:val="0"/>
          <w:numId w:val="11"/>
        </w:numPr>
        <w:spacing w:after="120" w:line="360" w:lineRule="auto"/>
        <w:ind w:right="1695"/>
        <w:rPr>
          <w:rFonts w:ascii="Arial" w:eastAsia="Arial" w:hAnsi="Arial" w:cs="Arial"/>
        </w:rPr>
      </w:pPr>
      <w:r>
        <w:rPr>
          <w:rFonts w:ascii="Arial" w:hAnsi="Arial"/>
        </w:rPr>
        <w:t>Optimum pull-in behaviour, even in extremely dry conditions, owing to the steep angle of attack of the share</w:t>
      </w:r>
    </w:p>
    <w:p w14:paraId="6DBD78B1" w14:textId="7CE70383" w:rsidR="009477A9" w:rsidRPr="00D90259" w:rsidRDefault="009477A9" w:rsidP="00D90259">
      <w:pPr>
        <w:pStyle w:val="Listenabsatz"/>
        <w:numPr>
          <w:ilvl w:val="0"/>
          <w:numId w:val="11"/>
        </w:numPr>
        <w:spacing w:after="120" w:line="360" w:lineRule="auto"/>
        <w:ind w:right="1695"/>
        <w:rPr>
          <w:rFonts w:ascii="Arial" w:eastAsia="Arial" w:hAnsi="Arial" w:cs="Arial"/>
        </w:rPr>
      </w:pPr>
      <w:r>
        <w:rPr>
          <w:rFonts w:ascii="Arial" w:hAnsi="Arial"/>
        </w:rPr>
        <w:t>Increase in the incorporation of crop residues</w:t>
      </w:r>
    </w:p>
    <w:p w14:paraId="187A1BFA" w14:textId="77777777" w:rsidR="00161FDD" w:rsidRDefault="00161FDD" w:rsidP="00161FDD">
      <w:pPr>
        <w:spacing w:after="120" w:line="360" w:lineRule="auto"/>
        <w:ind w:left="567" w:right="1695"/>
        <w:rPr>
          <w:rFonts w:ascii="Arial" w:eastAsia="Arial" w:hAnsi="Arial" w:cs="Arial"/>
        </w:rPr>
      </w:pPr>
    </w:p>
    <w:p w14:paraId="1F8FF45A" w14:textId="6E213353" w:rsidR="00161FDD" w:rsidRDefault="00161FDD" w:rsidP="00161FDD">
      <w:pPr>
        <w:spacing w:after="120" w:line="360" w:lineRule="auto"/>
        <w:ind w:left="567" w:right="1695"/>
        <w:rPr>
          <w:rFonts w:ascii="Arial" w:eastAsia="Arial" w:hAnsi="Arial" w:cs="Arial"/>
          <w:noProof/>
        </w:rPr>
      </w:pPr>
    </w:p>
    <w:p w14:paraId="3EB67227" w14:textId="74575CD5" w:rsidR="009477A9" w:rsidRDefault="009477A9" w:rsidP="00161FDD">
      <w:pPr>
        <w:spacing w:after="120" w:line="360" w:lineRule="auto"/>
        <w:ind w:left="567" w:right="1695"/>
        <w:rPr>
          <w:rFonts w:ascii="Arial" w:eastAsia="Arial" w:hAnsi="Arial" w:cs="Arial"/>
        </w:rPr>
      </w:pPr>
      <w:r>
        <w:rPr>
          <w:rFonts w:ascii="Arial" w:hAnsi="Arial"/>
          <w:noProof/>
        </w:rPr>
        <w:lastRenderedPageBreak/>
        <w:drawing>
          <wp:inline distT="0" distB="0" distL="0" distR="0" wp14:anchorId="56914D51" wp14:editId="0236888F">
            <wp:extent cx="3524400" cy="2880000"/>
            <wp:effectExtent l="0" t="0" r="0" b="3175"/>
            <wp:docPr id="17321139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113929" name="Grafik 1732113929"/>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24400" cy="2880000"/>
                    </a:xfrm>
                    <a:prstGeom prst="rect">
                      <a:avLst/>
                    </a:prstGeom>
                  </pic:spPr>
                </pic:pic>
              </a:graphicData>
            </a:graphic>
          </wp:inline>
        </w:drawing>
      </w:r>
    </w:p>
    <w:p w14:paraId="26485687" w14:textId="77777777" w:rsidR="009477A9" w:rsidRPr="009477A9" w:rsidRDefault="009477A9" w:rsidP="009477A9">
      <w:pPr>
        <w:spacing w:after="120" w:line="360" w:lineRule="auto"/>
        <w:ind w:left="567" w:right="1695"/>
        <w:rPr>
          <w:rFonts w:ascii="Arial" w:eastAsia="Arial" w:hAnsi="Arial" w:cs="Arial"/>
        </w:rPr>
      </w:pPr>
      <w:r>
        <w:rPr>
          <w:rFonts w:ascii="Arial" w:hAnsi="Arial"/>
        </w:rPr>
        <w:t>AMAZONE 360 mm wing share with three different mounting positions</w:t>
      </w:r>
    </w:p>
    <w:p w14:paraId="767918C2" w14:textId="77777777" w:rsidR="00161FDD" w:rsidRDefault="00161FDD" w:rsidP="00161FDD">
      <w:pPr>
        <w:spacing w:after="120" w:line="360" w:lineRule="auto"/>
        <w:ind w:left="567" w:right="1695"/>
        <w:rPr>
          <w:rFonts w:ascii="Arial" w:eastAsia="Arial" w:hAnsi="Arial" w:cs="Arial"/>
        </w:rPr>
      </w:pPr>
    </w:p>
    <w:p w14:paraId="1EB7CCC7" w14:textId="77777777" w:rsidR="00161FDD" w:rsidRDefault="00161FDD" w:rsidP="00161FDD">
      <w:pPr>
        <w:spacing w:after="120" w:line="360" w:lineRule="auto"/>
        <w:ind w:left="567" w:right="1695"/>
        <w:rPr>
          <w:rFonts w:ascii="Arial" w:eastAsia="Arial" w:hAnsi="Arial" w:cs="Arial"/>
        </w:rPr>
      </w:pPr>
    </w:p>
    <w:p w14:paraId="0C37C357" w14:textId="52CC802E" w:rsidR="00161FDD" w:rsidRDefault="009477A9" w:rsidP="00161FDD">
      <w:pPr>
        <w:spacing w:after="120" w:line="360" w:lineRule="auto"/>
        <w:ind w:left="567" w:right="1695"/>
        <w:rPr>
          <w:rFonts w:ascii="Arial" w:eastAsia="Arial" w:hAnsi="Arial" w:cs="Arial"/>
        </w:rPr>
      </w:pPr>
      <w:r>
        <w:rPr>
          <w:rFonts w:ascii="Arial" w:hAnsi="Arial"/>
          <w:noProof/>
        </w:rPr>
        <w:drawing>
          <wp:inline distT="0" distB="0" distL="0" distR="0" wp14:anchorId="0A5E3CFB" wp14:editId="4BD33F77">
            <wp:extent cx="4053600" cy="2880000"/>
            <wp:effectExtent l="0" t="0" r="0" b="3175"/>
            <wp:docPr id="175084380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843808" name="Grafik 175084380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7F7BF2C9" w14:textId="77777777" w:rsidR="009477A9" w:rsidRPr="009477A9" w:rsidRDefault="009477A9" w:rsidP="009477A9">
      <w:pPr>
        <w:spacing w:after="120" w:line="360" w:lineRule="auto"/>
        <w:ind w:left="567" w:right="1695"/>
        <w:rPr>
          <w:rFonts w:ascii="Arial" w:eastAsia="Arial" w:hAnsi="Arial" w:cs="Arial"/>
        </w:rPr>
      </w:pPr>
      <w:r>
        <w:rPr>
          <w:rFonts w:ascii="Arial" w:hAnsi="Arial"/>
        </w:rPr>
        <w:t xml:space="preserve">The new 360 wing share enables shallow work and cutting of the organic matter in Position 1. </w:t>
      </w:r>
    </w:p>
    <w:p w14:paraId="06255092" w14:textId="77777777" w:rsidR="00161FDD" w:rsidRDefault="00161FDD" w:rsidP="00161FDD">
      <w:pPr>
        <w:spacing w:after="120" w:line="360" w:lineRule="auto"/>
        <w:ind w:left="567" w:right="1695"/>
        <w:rPr>
          <w:rFonts w:ascii="Arial" w:eastAsia="Arial" w:hAnsi="Arial" w:cs="Arial"/>
        </w:rPr>
      </w:pPr>
    </w:p>
    <w:p w14:paraId="6090A749" w14:textId="77777777" w:rsidR="00161FDD" w:rsidRDefault="00161FDD" w:rsidP="00161FDD">
      <w:pPr>
        <w:spacing w:after="120" w:line="360" w:lineRule="auto"/>
        <w:ind w:left="567" w:right="1695"/>
        <w:rPr>
          <w:rFonts w:ascii="Arial" w:eastAsia="Arial" w:hAnsi="Arial" w:cs="Arial"/>
        </w:rPr>
      </w:pPr>
    </w:p>
    <w:p w14:paraId="286E88D7" w14:textId="637E5EF8" w:rsidR="00161FDD" w:rsidRDefault="00161FDD" w:rsidP="00161FDD">
      <w:pPr>
        <w:spacing w:after="120" w:line="360" w:lineRule="auto"/>
        <w:ind w:left="567" w:right="1695"/>
        <w:rPr>
          <w:rFonts w:ascii="Arial" w:eastAsia="Arial" w:hAnsi="Arial" w:cs="Arial"/>
        </w:rPr>
      </w:pPr>
    </w:p>
    <w:p w14:paraId="798783A7" w14:textId="39CA786A" w:rsidR="009477A9" w:rsidRDefault="009477A9" w:rsidP="00161FDD">
      <w:pPr>
        <w:spacing w:after="120" w:line="360" w:lineRule="auto"/>
        <w:ind w:left="567" w:right="1695"/>
        <w:rPr>
          <w:rFonts w:ascii="Arial" w:eastAsia="Arial" w:hAnsi="Arial" w:cs="Arial"/>
        </w:rPr>
      </w:pPr>
      <w:r>
        <w:rPr>
          <w:rFonts w:ascii="Arial" w:hAnsi="Arial"/>
          <w:noProof/>
        </w:rPr>
        <w:drawing>
          <wp:inline distT="0" distB="0" distL="0" distR="0" wp14:anchorId="277A4164" wp14:editId="2C477153">
            <wp:extent cx="4053600" cy="2880000"/>
            <wp:effectExtent l="0" t="0" r="0" b="3175"/>
            <wp:docPr id="83748011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480114" name="Grafik 83748011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1602AA2A" w14:textId="77777777" w:rsidR="009477A9" w:rsidRPr="009477A9" w:rsidRDefault="009477A9" w:rsidP="009477A9">
      <w:pPr>
        <w:spacing w:after="120" w:line="360" w:lineRule="auto"/>
        <w:ind w:left="567" w:right="1695"/>
        <w:rPr>
          <w:rFonts w:ascii="Arial" w:eastAsia="Arial" w:hAnsi="Arial" w:cs="Arial"/>
        </w:rPr>
      </w:pPr>
      <w:r>
        <w:rPr>
          <w:rFonts w:ascii="Arial" w:hAnsi="Arial"/>
        </w:rPr>
        <w:t>Optimum pull-in, thanks to the improved undercut of the point in Position 2, even in extremely dry soils.</w:t>
      </w:r>
    </w:p>
    <w:p w14:paraId="7C5B29AD" w14:textId="77777777" w:rsidR="00161FDD" w:rsidRDefault="00161FDD" w:rsidP="00161FDD">
      <w:pPr>
        <w:spacing w:after="120" w:line="360" w:lineRule="auto"/>
        <w:ind w:left="567" w:right="1695"/>
        <w:rPr>
          <w:rFonts w:ascii="Arial" w:eastAsia="Arial" w:hAnsi="Arial" w:cs="Arial"/>
        </w:rPr>
      </w:pPr>
    </w:p>
    <w:p w14:paraId="505ADB1E" w14:textId="77777777" w:rsidR="00161FDD" w:rsidRDefault="00161FDD" w:rsidP="00161FDD">
      <w:pPr>
        <w:spacing w:after="120" w:line="360" w:lineRule="auto"/>
        <w:ind w:left="567" w:right="1695"/>
        <w:rPr>
          <w:rFonts w:ascii="Arial" w:eastAsia="Arial" w:hAnsi="Arial" w:cs="Arial"/>
        </w:rPr>
      </w:pPr>
    </w:p>
    <w:p w14:paraId="4894DEBF" w14:textId="057AC5EB" w:rsidR="00161FDD" w:rsidRDefault="009477A9" w:rsidP="00161FDD">
      <w:pPr>
        <w:spacing w:after="120" w:line="360" w:lineRule="auto"/>
        <w:ind w:left="567" w:right="1695"/>
        <w:rPr>
          <w:rFonts w:ascii="Arial" w:eastAsia="Arial" w:hAnsi="Arial" w:cs="Arial"/>
        </w:rPr>
      </w:pPr>
      <w:r>
        <w:rPr>
          <w:rFonts w:ascii="Arial" w:hAnsi="Arial"/>
          <w:noProof/>
        </w:rPr>
        <w:drawing>
          <wp:inline distT="0" distB="0" distL="0" distR="0" wp14:anchorId="520782AA" wp14:editId="413F164D">
            <wp:extent cx="4053600" cy="2880000"/>
            <wp:effectExtent l="0" t="0" r="0" b="3175"/>
            <wp:docPr id="1222132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1325" name="Grafik 1222132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3FD7C536" w14:textId="77777777" w:rsidR="009477A9" w:rsidRPr="009477A9" w:rsidRDefault="009477A9" w:rsidP="009477A9">
      <w:pPr>
        <w:spacing w:after="120" w:line="360" w:lineRule="auto"/>
        <w:ind w:left="567" w:right="1695"/>
        <w:rPr>
          <w:rFonts w:ascii="Arial" w:eastAsia="Arial" w:hAnsi="Arial" w:cs="Arial"/>
        </w:rPr>
      </w:pPr>
      <w:r>
        <w:rPr>
          <w:rFonts w:ascii="Arial" w:hAnsi="Arial"/>
        </w:rPr>
        <w:t>The steep angle of attack in Position 3 enhances the mixing of the organic matter in the soil.</w:t>
      </w:r>
    </w:p>
    <w:p w14:paraId="27D66664" w14:textId="77777777" w:rsidR="00161FDD" w:rsidRDefault="00161FDD" w:rsidP="00161FDD">
      <w:pPr>
        <w:spacing w:after="120" w:line="360" w:lineRule="auto"/>
        <w:ind w:left="567" w:right="1695"/>
        <w:rPr>
          <w:rFonts w:ascii="Arial" w:eastAsia="Arial" w:hAnsi="Arial" w:cs="Arial"/>
        </w:rPr>
      </w:pPr>
    </w:p>
    <w:p w14:paraId="78EBEE34" w14:textId="77777777" w:rsidR="00161FDD" w:rsidRPr="00F4316E" w:rsidRDefault="00161FDD" w:rsidP="00161FDD">
      <w:pPr>
        <w:spacing w:after="120" w:line="360" w:lineRule="auto"/>
        <w:ind w:right="1695"/>
        <w:rPr>
          <w:rFonts w:ascii="Arial" w:eastAsia="Arial" w:hAnsi="Arial" w:cs="Arial"/>
        </w:rPr>
      </w:pPr>
    </w:p>
    <w:p w14:paraId="0E1E272C" w14:textId="77777777"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Illustrations, content and technical data are not binding and may differ depending on the level of equipment. Country-specific road traffic regulations apply and must be complied with, meaning that special approval may be required. The permissible axle loads and total weights of the tractor should be checked. Not all the listed combination options are possible with all tractor manufacturers.</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7F8944CC" w14:textId="52594D04"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Hasbergen-Gaste in Germany and manufactures agricultural and groundcare machinery. The owner-managed company employs more than 2000 people at nine different production sites. The agricultural machinery range includes soil tillage implements, seed drills, fertiliser spreaders and crop protection equipment. SCHMOTZER Hacktechnik has been part of the AMAZONE Group since 2019. Based on these core competencies, AMAZONE is now the specialist for intelligent crop production in agriculture. Further information: </w:t>
      </w:r>
      <w:hyperlink r:id="rId13" w:history="1">
        <w:r>
          <w:rPr>
            <w:rStyle w:val="Hyperlink"/>
            <w:rFonts w:ascii="Arial" w:hAnsi="Arial"/>
            <w:sz w:val="20"/>
          </w:rPr>
          <w:t>www.amazone.de</w:t>
        </w:r>
      </w:hyperlink>
    </w:p>
    <w:p w14:paraId="502155D2" w14:textId="77777777" w:rsidR="00161FDD"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40D56F75">
            <wp:extent cx="241300" cy="241300"/>
            <wp:effectExtent l="0" t="0" r="6350" b="6350"/>
            <wp:docPr id="13" name="Grafik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6779A5AB">
            <wp:extent cx="241300" cy="241300"/>
            <wp:effectExtent l="0" t="0" r="6350" b="6350"/>
            <wp:docPr id="12" name="Grafik 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281923A8">
            <wp:extent cx="241300" cy="241300"/>
            <wp:effectExtent l="0" t="0" r="6350" b="6350"/>
            <wp:docPr id="11" name="Grafik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571DAA3F">
            <wp:extent cx="241300" cy="241300"/>
            <wp:effectExtent l="0" t="0" r="6350" b="6350"/>
            <wp:docPr id="10" name="Grafik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6466CEF0">
            <wp:extent cx="241300" cy="241300"/>
            <wp:effectExtent l="0" t="0" r="6350" b="6350"/>
            <wp:docPr id="7" name="Grafik 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252D2E94" w14:textId="17666CA2" w:rsidR="00A46482" w:rsidRPr="00161FDD" w:rsidRDefault="00A46482" w:rsidP="00161FDD"/>
    <w:sectPr w:rsidR="00A46482" w:rsidRPr="00161FDD" w:rsidSect="007D56A1">
      <w:headerReference w:type="even" r:id="rId29"/>
      <w:headerReference w:type="default" r:id="rId30"/>
      <w:footerReference w:type="even" r:id="rId31"/>
      <w:footerReference w:type="default" r:id="rId32"/>
      <w:headerReference w:type="first" r:id="rId33"/>
      <w:footerReference w:type="first" r:id="rId34"/>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18C2F" w14:textId="77777777" w:rsidR="007E1B14" w:rsidRDefault="007E1B14">
      <w:r>
        <w:separator/>
      </w:r>
    </w:p>
  </w:endnote>
  <w:endnote w:type="continuationSeparator" w:id="0">
    <w:p w14:paraId="799E70F5" w14:textId="77777777" w:rsidR="007E1B14" w:rsidRDefault="007E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0000000000000000000"/>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0F7BE6E8"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r>
                      <w:rPr>
                        <w:sz w:val="20"/>
                        <w:rFonts w:ascii="Arial" w:hAnsi="Arial"/>
                      </w:rPr>
                      <w:t xml:space="preserve"> of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49205 Hasbergen-Gaste, Germany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421955CC"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49205 Hasbergen-Gaste, Germany</w:t>
                    </w:r>
                  </w:p>
                  <w:p w14:paraId="60FD3ABD" w14:textId="77777777" w:rsidR="005E0980" w:rsidRPr="0093254A" w:rsidRDefault="005E0980" w:rsidP="006F7755">
                    <w:pPr>
                      <w:spacing w:line="280" w:lineRule="exact"/>
                      <w:rPr>
                        <w:spacing w:val="2"/>
                        <w:sz w:val="20"/>
                        <w:rFonts w:ascii="Arial" w:hAnsi="Arial"/>
                      </w:rPr>
                    </w:pPr>
                    <w:r>
                      <w:rPr>
                        <w:sz w:val="20"/>
                        <w:rFonts w:ascii="Arial" w:hAnsi="Arial"/>
                      </w:rPr>
                      <w:t xml:space="preserve">Telephone +49 (0)5405 501-0 ∙ amazone@amazone.de ∙ www.amazone.de</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034ED" w14:textId="77777777" w:rsidR="007E1B14" w:rsidRDefault="007E1B14">
      <w:r>
        <w:separator/>
      </w:r>
    </w:p>
  </w:footnote>
  <w:footnote w:type="continuationSeparator" w:id="0">
    <w:p w14:paraId="0874DB35" w14:textId="77777777" w:rsidR="007E1B14" w:rsidRDefault="007E1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b/>
                        <w:color w:val="FFFFFF" w:themeColor="background1"/>
                        <w:sz w:val="18"/>
                        <w:rFonts w:ascii="Arial" w:hAnsi="Arial"/>
                      </w:rPr>
                      <w:t xml:space="preserve">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2B552565"/>
    <w:multiLevelType w:val="hybridMultilevel"/>
    <w:tmpl w:val="7922923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835097"/>
    <w:multiLevelType w:val="hybridMultilevel"/>
    <w:tmpl w:val="C9D697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7"/>
  </w:num>
  <w:num w:numId="2" w16cid:durableId="1510219160">
    <w:abstractNumId w:val="0"/>
  </w:num>
  <w:num w:numId="3" w16cid:durableId="613364659">
    <w:abstractNumId w:val="4"/>
  </w:num>
  <w:num w:numId="4" w16cid:durableId="1043675452">
    <w:abstractNumId w:val="5"/>
  </w:num>
  <w:num w:numId="5" w16cid:durableId="2011105495">
    <w:abstractNumId w:val="2"/>
  </w:num>
  <w:num w:numId="6" w16cid:durableId="240917465">
    <w:abstractNumId w:val="1"/>
  </w:num>
  <w:num w:numId="7" w16cid:durableId="750658751">
    <w:abstractNumId w:val="10"/>
  </w:num>
  <w:num w:numId="8" w16cid:durableId="294531490">
    <w:abstractNumId w:val="9"/>
  </w:num>
  <w:num w:numId="9" w16cid:durableId="2071071478">
    <w:abstractNumId w:val="3"/>
  </w:num>
  <w:num w:numId="10" w16cid:durableId="2064477308">
    <w:abstractNumId w:val="6"/>
  </w:num>
  <w:num w:numId="11" w16cid:durableId="12916664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8E9"/>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3785"/>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14"/>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709"/>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259"/>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17E86"/>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mazone.net"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506</Words>
  <Characters>3191</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2023-09-08T08:02:00Z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