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76CA9" w14:textId="173B0099" w:rsidR="00481457" w:rsidRPr="00481457" w:rsidRDefault="00481457" w:rsidP="00481457">
      <w:pPr>
        <w:spacing w:after="120" w:line="360" w:lineRule="auto"/>
        <w:ind w:left="567" w:right="1695"/>
        <w:rPr>
          <w:rFonts w:ascii="Arial" w:hAnsi="Arial" w:cs="Arial"/>
          <w:b/>
          <w:bCs/>
          <w:sz w:val="28"/>
          <w:szCs w:val="28"/>
        </w:rPr>
      </w:pPr>
      <w:r>
        <w:rPr>
          <w:rFonts w:ascii="Arial" w:hAnsi="Arial"/>
          <w:b/>
          <w:sz w:val="28"/>
        </w:rPr>
        <w:t xml:space="preserve">Nouveau semoir </w:t>
      </w:r>
      <w:proofErr w:type="spellStart"/>
      <w:r>
        <w:rPr>
          <w:rFonts w:ascii="Arial" w:hAnsi="Arial"/>
          <w:b/>
          <w:sz w:val="28"/>
        </w:rPr>
        <w:t>monograine</w:t>
      </w:r>
      <w:proofErr w:type="spellEnd"/>
      <w:r>
        <w:rPr>
          <w:rFonts w:ascii="Arial" w:hAnsi="Arial"/>
          <w:b/>
          <w:sz w:val="28"/>
        </w:rPr>
        <w:t xml:space="preserve"> traîné </w:t>
      </w:r>
      <w:proofErr w:type="spellStart"/>
      <w:r>
        <w:rPr>
          <w:rFonts w:ascii="Arial" w:hAnsi="Arial"/>
          <w:b/>
          <w:sz w:val="28"/>
        </w:rPr>
        <w:t>Precea</w:t>
      </w:r>
      <w:proofErr w:type="spellEnd"/>
      <w:r>
        <w:rPr>
          <w:rFonts w:ascii="Arial" w:hAnsi="Arial"/>
          <w:b/>
          <w:sz w:val="28"/>
        </w:rPr>
        <w:t xml:space="preserve">-TCC AMAZONE </w:t>
      </w:r>
    </w:p>
    <w:p w14:paraId="65EA582A" w14:textId="02E06963" w:rsidR="00161FDD" w:rsidRDefault="00161FDD" w:rsidP="00481457">
      <w:pPr>
        <w:spacing w:after="120" w:line="360" w:lineRule="auto"/>
        <w:ind w:left="567" w:right="1695"/>
        <w:rPr>
          <w:rFonts w:ascii="Arial" w:hAnsi="Arial" w:cs="Arial"/>
        </w:rPr>
      </w:pPr>
    </w:p>
    <w:p w14:paraId="67E0FF3F" w14:textId="77777777" w:rsidR="00481457" w:rsidRDefault="00481457" w:rsidP="00481457">
      <w:pPr>
        <w:spacing w:after="120" w:line="360" w:lineRule="auto"/>
        <w:ind w:left="567" w:right="1695"/>
        <w:rPr>
          <w:rFonts w:ascii="Arial" w:eastAsia="Arial" w:hAnsi="Arial" w:cs="Arial"/>
        </w:rPr>
      </w:pPr>
      <w:r>
        <w:rPr>
          <w:rFonts w:ascii="Arial" w:hAnsi="Arial"/>
        </w:rPr>
        <w:t xml:space="preserve">AMAZONE élargit sa gamme de semis </w:t>
      </w:r>
      <w:proofErr w:type="spellStart"/>
      <w:r>
        <w:rPr>
          <w:rFonts w:ascii="Arial" w:hAnsi="Arial"/>
        </w:rPr>
        <w:t>monograine</w:t>
      </w:r>
      <w:proofErr w:type="spellEnd"/>
      <w:r>
        <w:rPr>
          <w:rFonts w:ascii="Arial" w:hAnsi="Arial"/>
        </w:rPr>
        <w:t xml:space="preserve"> avec les modèles traînés </w:t>
      </w:r>
      <w:proofErr w:type="spellStart"/>
      <w:r>
        <w:rPr>
          <w:rFonts w:ascii="Arial" w:hAnsi="Arial"/>
        </w:rPr>
        <w:t>Precea</w:t>
      </w:r>
      <w:proofErr w:type="spellEnd"/>
      <w:r>
        <w:rPr>
          <w:rFonts w:ascii="Arial" w:hAnsi="Arial"/>
        </w:rPr>
        <w:t xml:space="preserve"> 9000-TCC et 12000-TCC, en largeurs de travail 9 et 12 m. Cette variante spécialement conçue pour les entrepreneurs de travaux agricoles et les grandes exploitations impressionne par sa sélection en surpression performante, ses grands volumes de trémie et son système novateur d’alimentation de la semence via une trémie centralisée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L’implantation très précise de la semence garantit des levées de qualité, même à des vitesses de travail élevées jusqu’à 15 km/h. </w:t>
      </w:r>
    </w:p>
    <w:p w14:paraId="14C1264B" w14:textId="77777777" w:rsidR="00481457" w:rsidRPr="00481457" w:rsidRDefault="00481457" w:rsidP="00481457">
      <w:pPr>
        <w:spacing w:after="120" w:line="360" w:lineRule="auto"/>
        <w:ind w:left="567" w:right="1695"/>
        <w:rPr>
          <w:rFonts w:ascii="Arial" w:eastAsia="Arial" w:hAnsi="Arial" w:cs="Arial"/>
        </w:rPr>
      </w:pPr>
    </w:p>
    <w:p w14:paraId="3DAD0FD2"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Concept avec trémie centralisée – sélection par rang</w:t>
      </w:r>
    </w:p>
    <w:p w14:paraId="3344AF66" w14:textId="77777777" w:rsidR="00481457" w:rsidRDefault="00481457" w:rsidP="00481457">
      <w:pPr>
        <w:spacing w:after="120" w:line="360" w:lineRule="auto"/>
        <w:ind w:left="567" w:right="1695"/>
        <w:rPr>
          <w:rFonts w:ascii="Arial" w:eastAsia="Arial" w:hAnsi="Arial" w:cs="Arial"/>
        </w:rPr>
      </w:pPr>
      <w:r>
        <w:rPr>
          <w:rFonts w:ascii="Arial" w:hAnsi="Arial"/>
        </w:rPr>
        <w:t xml:space="preserve">Pour un débit de chantier particulièrement élevé et un remplissage rapide, le nouveau </w:t>
      </w:r>
      <w:proofErr w:type="spellStart"/>
      <w:r>
        <w:rPr>
          <w:rFonts w:ascii="Arial" w:hAnsi="Arial"/>
        </w:rPr>
        <w:t>Precea</w:t>
      </w:r>
      <w:proofErr w:type="spellEnd"/>
      <w:r>
        <w:rPr>
          <w:rFonts w:ascii="Arial" w:hAnsi="Arial"/>
        </w:rPr>
        <w:t xml:space="preserve">-TCC est équipé d’une trémie de semence centralisée qui peut contenir jusqu'à deux </w:t>
      </w:r>
      <w:proofErr w:type="spellStart"/>
      <w:r>
        <w:rPr>
          <w:rFonts w:ascii="Arial" w:hAnsi="Arial"/>
        </w:rPr>
        <w:t>bigbags</w:t>
      </w:r>
      <w:proofErr w:type="spellEnd"/>
      <w:r>
        <w:rPr>
          <w:rFonts w:ascii="Arial" w:hAnsi="Arial"/>
        </w:rPr>
        <w:t xml:space="preserve">, soit 2 000 l. Avec le nouveau système d’alimentation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la semence est acheminée par un flux d'air, de la trémie centrale vers les éléments semeurs. La semence y est stockée temporairement par rang dans une petite trémie intermédiaire. Lorsque le niveau de remplissage maximal est atteint dans cette trémie intermédiaire, le flux d’air et donc l’alimentation, sont interrompus automatiquement. Lorsque le niveau de remplissage diminue, le flux d’air se remet en marche automatiquement et alimente la semence de la trémie principale vers les différents rangs. Grâce à cette gestion du système d’air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r>
        <w:rPr>
          <w:rFonts w:ascii="Arial" w:hAnsi="Arial"/>
        </w:rPr>
        <w:t xml:space="preserve">, chaque élément semeur est alimenté en semence de façon indépendante, sans que le système dépende d’un capteur ou d’une commande électronique. </w:t>
      </w:r>
    </w:p>
    <w:p w14:paraId="204C480D" w14:textId="77777777" w:rsidR="00481457" w:rsidRPr="00481457" w:rsidRDefault="00481457" w:rsidP="00481457">
      <w:pPr>
        <w:spacing w:after="120" w:line="360" w:lineRule="auto"/>
        <w:ind w:left="567" w:right="1695"/>
        <w:rPr>
          <w:rFonts w:ascii="Arial" w:eastAsia="Arial" w:hAnsi="Arial" w:cs="Arial"/>
        </w:rPr>
      </w:pPr>
    </w:p>
    <w:p w14:paraId="6D09BA2A"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Sélection précise sur chaque rang</w:t>
      </w:r>
    </w:p>
    <w:p w14:paraId="2937BC7E"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Pour la sélection de la semence, AMAZONE mise sur ses unités de sélection </w:t>
      </w:r>
      <w:proofErr w:type="spellStart"/>
      <w:r>
        <w:rPr>
          <w:rFonts w:ascii="Arial" w:hAnsi="Arial"/>
        </w:rPr>
        <w:t>PreTeC</w:t>
      </w:r>
      <w:proofErr w:type="spellEnd"/>
      <w:r>
        <w:rPr>
          <w:rFonts w:ascii="Arial" w:hAnsi="Arial"/>
        </w:rPr>
        <w:t xml:space="preserve"> qui travaillent avec le principe de surpression. La semence est alors poussée avec de l’air vers le disque de sélection. Le joint d’étanchéité du </w:t>
      </w:r>
      <w:proofErr w:type="gramStart"/>
      <w:r>
        <w:rPr>
          <w:rFonts w:ascii="Arial" w:hAnsi="Arial"/>
        </w:rPr>
        <w:lastRenderedPageBreak/>
        <w:t>système</w:t>
      </w:r>
      <w:proofErr w:type="gramEnd"/>
      <w:r>
        <w:rPr>
          <w:rFonts w:ascii="Arial" w:hAnsi="Arial"/>
        </w:rPr>
        <w:t xml:space="preserve"> de sélection de graine est en rotation avec le disque, garantissant une nette réduction de la puissance absorbée par les entraînements électriques de chaque rang. Le réglage des sélecteurs est automatique (</w:t>
      </w:r>
      <w:proofErr w:type="spellStart"/>
      <w:r>
        <w:rPr>
          <w:rFonts w:ascii="Arial" w:hAnsi="Arial"/>
        </w:rPr>
        <w:t>SmartControl</w:t>
      </w:r>
      <w:proofErr w:type="spellEnd"/>
      <w:r>
        <w:rPr>
          <w:rFonts w:ascii="Arial" w:hAnsi="Arial"/>
        </w:rPr>
        <w:t xml:space="preserve">), couplé aux capteurs optiques, et empêche efficacement les manques et les doublons. Le disque de sélection entraîné électriquement tourne en fonction de la vitesse d’avancement et du débit de semis souhaité et achemine la semence vers la canule d’expulsion. À ce stade, la pression appliquée sur le disque est interrompue, la graine est expulsée avec précision dans le sillon de semis, stoppée par la roulette de réception et placée en toute sécurité. </w:t>
      </w:r>
    </w:p>
    <w:p w14:paraId="5A470284" w14:textId="77777777" w:rsidR="00481457" w:rsidRPr="00481457" w:rsidRDefault="00481457" w:rsidP="00481457">
      <w:pPr>
        <w:spacing w:after="120" w:line="360" w:lineRule="auto"/>
        <w:ind w:left="567" w:right="1695"/>
        <w:rPr>
          <w:rFonts w:ascii="Arial" w:eastAsia="Arial" w:hAnsi="Arial" w:cs="Arial"/>
        </w:rPr>
      </w:pPr>
    </w:p>
    <w:p w14:paraId="71386C80"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Le disque ouvreur assure une implantation précise de la semence. Deux roues d’appui et la pression de terrage réglable hydrauliquement garantissent un guidage homogène en profondeur. Pour un confort encore renforcé, AMAZONE propose la régulation automatique de pression de terrage </w:t>
      </w:r>
      <w:proofErr w:type="spellStart"/>
      <w:r>
        <w:rPr>
          <w:rFonts w:ascii="Arial" w:hAnsi="Arial"/>
        </w:rPr>
        <w:t>SmartForce</w:t>
      </w:r>
      <w:proofErr w:type="spellEnd"/>
      <w:r>
        <w:rPr>
          <w:rFonts w:ascii="Arial" w:hAnsi="Arial"/>
        </w:rPr>
        <w:t xml:space="preserve">. Elle assure un respect constant de la force d’appui au sol et donc une implantation toujours homogène de la semence, en particulier dans des conditions de sol hétérogènes. </w:t>
      </w:r>
    </w:p>
    <w:p w14:paraId="1CA74F95" w14:textId="77777777" w:rsidR="00481457" w:rsidRPr="00481457" w:rsidRDefault="00481457" w:rsidP="00481457">
      <w:pPr>
        <w:spacing w:after="120" w:line="360" w:lineRule="auto"/>
        <w:ind w:left="567" w:right="1695"/>
        <w:rPr>
          <w:rFonts w:ascii="Arial" w:eastAsia="Arial" w:hAnsi="Arial" w:cs="Arial"/>
        </w:rPr>
      </w:pPr>
    </w:p>
    <w:p w14:paraId="59A4BBF4" w14:textId="63F820F9" w:rsidR="00481457" w:rsidRDefault="00481457" w:rsidP="00481457">
      <w:pPr>
        <w:spacing w:after="120" w:line="360" w:lineRule="auto"/>
        <w:ind w:left="567" w:right="1695"/>
        <w:rPr>
          <w:rFonts w:ascii="Arial" w:eastAsia="Arial" w:hAnsi="Arial" w:cs="Arial"/>
        </w:rPr>
      </w:pPr>
      <w:r>
        <w:rPr>
          <w:rFonts w:ascii="Arial" w:hAnsi="Arial"/>
        </w:rPr>
        <w:t xml:space="preserve">L’entraînement électrique de distribution </w:t>
      </w:r>
      <w:proofErr w:type="spellStart"/>
      <w:r>
        <w:rPr>
          <w:rFonts w:ascii="Arial" w:hAnsi="Arial"/>
        </w:rPr>
        <w:t>ElectricDrive</w:t>
      </w:r>
      <w:proofErr w:type="spellEnd"/>
      <w:r>
        <w:rPr>
          <w:rFonts w:ascii="Arial" w:hAnsi="Arial"/>
        </w:rPr>
        <w:t xml:space="preserve"> permet de régler le nombre de pieds souhaités par hectare sur le terminal ISOBUS. Cela assure la régularité du dosage au travers des coupures de tronçons par GPS et des cartes de modulation de doses. Par ailleurs, Section Control optimise l’économie de semence par rang dans les pointes et en fourrière. De ce fait, les conditions permettent de faciliter la lutte mécanique contre les adventices avec la bineuse.</w:t>
      </w:r>
    </w:p>
    <w:p w14:paraId="033693C3" w14:textId="77777777" w:rsidR="00481457" w:rsidRPr="00481457" w:rsidRDefault="00481457" w:rsidP="00481457">
      <w:pPr>
        <w:spacing w:after="120" w:line="360" w:lineRule="auto"/>
        <w:ind w:left="567" w:right="1695"/>
        <w:rPr>
          <w:rFonts w:ascii="Arial" w:eastAsia="Arial" w:hAnsi="Arial" w:cs="Arial"/>
        </w:rPr>
      </w:pPr>
    </w:p>
    <w:p w14:paraId="1FCB5BA8" w14:textId="77777777" w:rsidR="00481457" w:rsidRPr="00481457" w:rsidRDefault="00481457" w:rsidP="00481457">
      <w:pPr>
        <w:spacing w:after="120" w:line="360" w:lineRule="auto"/>
        <w:ind w:left="567" w:right="1695"/>
        <w:rPr>
          <w:rFonts w:ascii="Arial" w:eastAsia="Arial" w:hAnsi="Arial" w:cs="Arial"/>
          <w:b/>
          <w:bCs/>
        </w:rPr>
      </w:pPr>
      <w:proofErr w:type="spellStart"/>
      <w:r>
        <w:rPr>
          <w:rFonts w:ascii="Arial" w:hAnsi="Arial"/>
          <w:b/>
        </w:rPr>
        <w:t>CurveControl</w:t>
      </w:r>
      <w:proofErr w:type="spellEnd"/>
      <w:r>
        <w:rPr>
          <w:rFonts w:ascii="Arial" w:hAnsi="Arial"/>
          <w:b/>
        </w:rPr>
        <w:t xml:space="preserve"> – Implantation optimisée de la semence dans les courbes </w:t>
      </w:r>
    </w:p>
    <w:p w14:paraId="5787F19B" w14:textId="77777777" w:rsidR="00481457" w:rsidRDefault="00481457" w:rsidP="00481457">
      <w:pPr>
        <w:spacing w:after="120" w:line="360" w:lineRule="auto"/>
        <w:ind w:left="567" w:right="1695"/>
        <w:rPr>
          <w:rFonts w:ascii="Arial" w:eastAsia="Arial" w:hAnsi="Arial" w:cs="Arial"/>
        </w:rPr>
      </w:pPr>
      <w:r>
        <w:rPr>
          <w:rFonts w:ascii="Arial" w:hAnsi="Arial"/>
        </w:rPr>
        <w:t xml:space="preserve">L’entraînement électrique de distribution sur le rang permet, même dans les courbes, de conserver une distance constante entre grains sur la ligne sur toute la largeur de travail. Un capteur au travers d’un gyroscope détermine la différence entre la vitesse d'avancement à l'intérieur et à l'extérieur du virage. </w:t>
      </w:r>
      <w:r>
        <w:rPr>
          <w:rFonts w:ascii="Arial" w:hAnsi="Arial"/>
        </w:rPr>
        <w:lastRenderedPageBreak/>
        <w:t xml:space="preserve">Sur cette base, le tout nouveau </w:t>
      </w:r>
      <w:proofErr w:type="spellStart"/>
      <w:r>
        <w:rPr>
          <w:rFonts w:ascii="Arial" w:hAnsi="Arial"/>
        </w:rPr>
        <w:t>CurveControl</w:t>
      </w:r>
      <w:proofErr w:type="spellEnd"/>
      <w:r>
        <w:rPr>
          <w:rFonts w:ascii="Arial" w:hAnsi="Arial"/>
        </w:rPr>
        <w:t xml:space="preserve"> ajuste les régimes de rotation des disques de sélection, </w:t>
      </w:r>
      <w:proofErr w:type="gramStart"/>
      <w:r>
        <w:rPr>
          <w:rFonts w:ascii="Arial" w:hAnsi="Arial"/>
        </w:rPr>
        <w:t>de façon à ce</w:t>
      </w:r>
      <w:proofErr w:type="gramEnd"/>
      <w:r>
        <w:rPr>
          <w:rFonts w:ascii="Arial" w:hAnsi="Arial"/>
        </w:rPr>
        <w:t xml:space="preserve"> que les distances entre graines restent identiques, même dans les courbes. Cela garantit un apport homogène des éléments nutritifs. Ainsi le développement des cultures et leur maturité sont plus réguliers.</w:t>
      </w:r>
    </w:p>
    <w:p w14:paraId="2DED50EC" w14:textId="77777777" w:rsidR="00481457" w:rsidRPr="00481457" w:rsidRDefault="00481457" w:rsidP="00481457">
      <w:pPr>
        <w:spacing w:after="120" w:line="360" w:lineRule="auto"/>
        <w:ind w:left="567" w:right="1695"/>
        <w:rPr>
          <w:rFonts w:ascii="Arial" w:eastAsia="Arial" w:hAnsi="Arial" w:cs="Arial"/>
        </w:rPr>
      </w:pPr>
    </w:p>
    <w:p w14:paraId="154C9C48"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Trémie deux compartiments pour l’engrais</w:t>
      </w:r>
    </w:p>
    <w:p w14:paraId="371428E2" w14:textId="77777777" w:rsidR="00481457" w:rsidRDefault="00481457" w:rsidP="00481457">
      <w:pPr>
        <w:spacing w:after="120" w:line="360" w:lineRule="auto"/>
        <w:ind w:left="567" w:right="1695"/>
        <w:rPr>
          <w:rFonts w:ascii="Arial" w:eastAsia="Arial" w:hAnsi="Arial" w:cs="Arial"/>
        </w:rPr>
      </w:pPr>
      <w:r>
        <w:rPr>
          <w:rFonts w:ascii="Arial" w:hAnsi="Arial"/>
        </w:rPr>
        <w:t xml:space="preserve">Pour un apport simultané d’engrais, le </w:t>
      </w:r>
      <w:proofErr w:type="spellStart"/>
      <w:r>
        <w:rPr>
          <w:rFonts w:ascii="Arial" w:hAnsi="Arial"/>
        </w:rPr>
        <w:t>Precea</w:t>
      </w:r>
      <w:proofErr w:type="spellEnd"/>
      <w:r>
        <w:rPr>
          <w:rFonts w:ascii="Arial" w:hAnsi="Arial"/>
        </w:rPr>
        <w:t xml:space="preserve">-TCC est doté d’une trémie deux compartiments facilement accessible qui offre une capacité globale de 6 000 l. Chaque compartiment est doté de sa propre unité de distribution électrique, respectivement couplée à une tête de distribution, mettant ainsi à disposition en standard une coupure unilatérale droite-gauche. L’apport d’engrais se fait par le </w:t>
      </w:r>
      <w:proofErr w:type="spellStart"/>
      <w:r>
        <w:rPr>
          <w:rFonts w:ascii="Arial" w:hAnsi="Arial"/>
        </w:rPr>
        <w:t>FerTeC</w:t>
      </w:r>
      <w:proofErr w:type="spellEnd"/>
      <w:r>
        <w:rPr>
          <w:rFonts w:ascii="Arial" w:hAnsi="Arial"/>
        </w:rPr>
        <w:t xml:space="preserve"> </w:t>
      </w:r>
      <w:proofErr w:type="spellStart"/>
      <w:r>
        <w:rPr>
          <w:rFonts w:ascii="Arial" w:hAnsi="Arial"/>
        </w:rPr>
        <w:t>twin</w:t>
      </w:r>
      <w:proofErr w:type="spellEnd"/>
      <w:r>
        <w:rPr>
          <w:rFonts w:ascii="Arial" w:hAnsi="Arial"/>
        </w:rPr>
        <w:t xml:space="preserve"> HD. La différence de profondeur d’implantation entre l'engrais et la semence se règle une fois pour toutes. Si la profondeur de semis est modifiée, l’élément fertiliseur réajuste automatiquement la profondeur en rapport avec la profondeur de semis.</w:t>
      </w:r>
    </w:p>
    <w:p w14:paraId="16882BD6" w14:textId="77777777" w:rsidR="00481457" w:rsidRPr="00481457" w:rsidRDefault="00481457" w:rsidP="00481457">
      <w:pPr>
        <w:spacing w:after="120" w:line="360" w:lineRule="auto"/>
        <w:ind w:left="567" w:right="1695"/>
        <w:rPr>
          <w:rFonts w:ascii="Arial" w:eastAsia="Arial" w:hAnsi="Arial" w:cs="Arial"/>
        </w:rPr>
      </w:pPr>
    </w:p>
    <w:p w14:paraId="1B713ED2"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 xml:space="preserve">Essieu télescopique </w:t>
      </w:r>
    </w:p>
    <w:p w14:paraId="6283B42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Precea</w:t>
      </w:r>
      <w:proofErr w:type="spellEnd"/>
      <w:r>
        <w:rPr>
          <w:rFonts w:ascii="Arial" w:hAnsi="Arial"/>
        </w:rPr>
        <w:t xml:space="preserve">-TCC est proposé en 12 ou 16 rangs pour des écarts de rangs de 70, 75 et 80 cm. Un essieu télescopique est disponible pour modifier la voie du </w:t>
      </w:r>
      <w:proofErr w:type="spellStart"/>
      <w:r>
        <w:rPr>
          <w:rFonts w:ascii="Arial" w:hAnsi="Arial"/>
        </w:rPr>
        <w:t>Precea</w:t>
      </w:r>
      <w:proofErr w:type="spellEnd"/>
      <w:r>
        <w:rPr>
          <w:rFonts w:ascii="Arial" w:hAnsi="Arial"/>
        </w:rPr>
        <w:t xml:space="preserve"> selon l’inter-rang. Au travail, la voie des pneumatiques de grandes dimensions peut être modifiée ; ainsi les roues passent entre les rangs de semis en évitant </w:t>
      </w:r>
      <w:proofErr w:type="gramStart"/>
      <w:r>
        <w:rPr>
          <w:rFonts w:ascii="Arial" w:hAnsi="Arial"/>
        </w:rPr>
        <w:t>les compactages juste</w:t>
      </w:r>
      <w:proofErr w:type="gramEnd"/>
      <w:r>
        <w:rPr>
          <w:rFonts w:ascii="Arial" w:hAnsi="Arial"/>
        </w:rPr>
        <w:t xml:space="preserve"> sous les rangs de semis. Avec cet essieu télescopique, le </w:t>
      </w:r>
      <w:proofErr w:type="spellStart"/>
      <w:r>
        <w:rPr>
          <w:rFonts w:ascii="Arial" w:hAnsi="Arial"/>
        </w:rPr>
        <w:t>Precea</w:t>
      </w:r>
      <w:proofErr w:type="spellEnd"/>
      <w:r>
        <w:rPr>
          <w:rFonts w:ascii="Arial" w:hAnsi="Arial"/>
        </w:rPr>
        <w:t xml:space="preserve">-TCC rentre dans le gabarit routier des 3m de largeur sur route. </w:t>
      </w:r>
    </w:p>
    <w:p w14:paraId="71A379BC" w14:textId="77777777" w:rsidR="00481457" w:rsidRPr="00481457" w:rsidRDefault="00481457" w:rsidP="00481457">
      <w:pPr>
        <w:spacing w:after="120" w:line="360" w:lineRule="auto"/>
        <w:ind w:left="567" w:right="1695"/>
        <w:rPr>
          <w:rFonts w:ascii="Arial" w:eastAsia="Arial" w:hAnsi="Arial" w:cs="Arial"/>
        </w:rPr>
      </w:pPr>
    </w:p>
    <w:p w14:paraId="055346D6" w14:textId="27821044" w:rsidR="009477A9" w:rsidRDefault="00481457" w:rsidP="00481457">
      <w:pPr>
        <w:spacing w:after="120" w:line="360" w:lineRule="auto"/>
        <w:ind w:left="567" w:right="1695"/>
        <w:rPr>
          <w:rFonts w:ascii="Arial" w:eastAsia="Arial" w:hAnsi="Arial" w:cs="Arial"/>
        </w:rPr>
      </w:pPr>
      <w:proofErr w:type="gramStart"/>
      <w:r>
        <w:rPr>
          <w:rFonts w:ascii="Arial" w:hAnsi="Arial"/>
        </w:rPr>
        <w:t>Ces évolutions produits</w:t>
      </w:r>
      <w:proofErr w:type="gramEnd"/>
      <w:r>
        <w:rPr>
          <w:rFonts w:ascii="Arial" w:hAnsi="Arial"/>
        </w:rPr>
        <w:t xml:space="preserve"> seront aussi disponibles à l’automne 2023 pour des distances entre rangs plus serrées, telles que les betteraves, le colza ou le soja, avec des inter-rangs de 45 et 50 cm pour 18 ou 24 rangs et complèteront la gamme.</w:t>
      </w: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53FFF21" w14:textId="7909761E"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Implantation précise de la semence grâce à une sélection par surpression d’air et à une canule d’expulsion courte</w:t>
      </w:r>
    </w:p>
    <w:p w14:paraId="632B836E" w14:textId="039ABAAB"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Utilisation simple et intuitive avec le terminal ISOBUS </w:t>
      </w:r>
      <w:proofErr w:type="spellStart"/>
      <w:r>
        <w:rPr>
          <w:rFonts w:ascii="Arial" w:hAnsi="Arial"/>
        </w:rPr>
        <w:t>AmaTron</w:t>
      </w:r>
      <w:proofErr w:type="spellEnd"/>
      <w:r>
        <w:rPr>
          <w:rFonts w:ascii="Arial" w:hAnsi="Arial"/>
        </w:rPr>
        <w:t> 4 AMAZONE</w:t>
      </w:r>
    </w:p>
    <w:p w14:paraId="175E0920" w14:textId="3B81151A"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Confort de réglage élevé sur l’élément de semis mulch </w:t>
      </w:r>
      <w:proofErr w:type="spellStart"/>
      <w:r>
        <w:rPr>
          <w:rFonts w:ascii="Arial" w:hAnsi="Arial"/>
        </w:rPr>
        <w:t>PreTeC</w:t>
      </w:r>
      <w:proofErr w:type="spellEnd"/>
      <w:r>
        <w:rPr>
          <w:rFonts w:ascii="Arial" w:hAnsi="Arial"/>
        </w:rPr>
        <w:t xml:space="preserve"> car tous les réglages nécessaires peuvent se faire sans outil</w:t>
      </w:r>
    </w:p>
    <w:p w14:paraId="0D90D543" w14:textId="58E8BDE9"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Rendements horaires exceptionnels grâce à la capacité importante de la trémie et au système d’alimentation en semence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p>
    <w:p w14:paraId="20781523" w14:textId="0E962F7B" w:rsidR="000678F3" w:rsidRPr="004C2759" w:rsidRDefault="00481457" w:rsidP="004C2759">
      <w:pPr>
        <w:pStyle w:val="Listenabsatz"/>
        <w:numPr>
          <w:ilvl w:val="0"/>
          <w:numId w:val="22"/>
        </w:numPr>
        <w:spacing w:after="120" w:line="360" w:lineRule="auto"/>
        <w:ind w:right="1695"/>
        <w:rPr>
          <w:rFonts w:ascii="Arial" w:eastAsia="Arial" w:hAnsi="Arial" w:cs="Arial"/>
        </w:rPr>
      </w:pPr>
      <w:proofErr w:type="spellStart"/>
      <w:r>
        <w:rPr>
          <w:rFonts w:ascii="Arial" w:hAnsi="Arial"/>
        </w:rPr>
        <w:t>CurveControl</w:t>
      </w:r>
      <w:proofErr w:type="spellEnd"/>
      <w:r>
        <w:rPr>
          <w:rFonts w:ascii="Arial" w:hAnsi="Arial"/>
        </w:rPr>
        <w:t xml:space="preserve"> pour une répartition homogène des plantes, même en courbe, et une maturité régulière des plantes</w:t>
      </w: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7B1FBA8E" w14:textId="4B248256"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52A8F68E" wp14:editId="41BB2ABF">
            <wp:extent cx="3477600" cy="2880000"/>
            <wp:effectExtent l="0" t="0" r="2540" b="3175"/>
            <wp:docPr id="1574192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92370" name="Grafik 157419237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24869D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Le nouveau semoir </w:t>
      </w:r>
      <w:proofErr w:type="spellStart"/>
      <w:r>
        <w:rPr>
          <w:rFonts w:ascii="Arial" w:hAnsi="Arial"/>
        </w:rPr>
        <w:t>monograine</w:t>
      </w:r>
      <w:proofErr w:type="spellEnd"/>
      <w:r>
        <w:rPr>
          <w:rFonts w:ascii="Arial" w:hAnsi="Arial"/>
        </w:rPr>
        <w:t xml:space="preserve"> traîné </w:t>
      </w:r>
      <w:proofErr w:type="spellStart"/>
      <w:r>
        <w:rPr>
          <w:rFonts w:ascii="Arial" w:hAnsi="Arial"/>
        </w:rPr>
        <w:t>Precea</w:t>
      </w:r>
      <w:proofErr w:type="spellEnd"/>
      <w:r>
        <w:rPr>
          <w:rFonts w:ascii="Arial" w:hAnsi="Arial"/>
        </w:rPr>
        <w:t>-TCC garantit un travail de qualité élevée en matière de précision, de rendement et d'utilisation intuitive</w:t>
      </w:r>
    </w:p>
    <w:p w14:paraId="436BF837" w14:textId="77777777" w:rsidR="00481457" w:rsidRDefault="00481457" w:rsidP="00161FDD">
      <w:pPr>
        <w:spacing w:after="120" w:line="360" w:lineRule="auto"/>
        <w:ind w:left="567" w:right="1695"/>
        <w:rPr>
          <w:rFonts w:ascii="Arial" w:eastAsia="Arial" w:hAnsi="Arial" w:cs="Arial"/>
        </w:rPr>
      </w:pPr>
    </w:p>
    <w:p w14:paraId="5A19F54A" w14:textId="76D64E1C"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167F80BC" wp14:editId="085F0E7B">
            <wp:extent cx="1440000" cy="1440000"/>
            <wp:effectExtent l="0" t="0" r="0" b="0"/>
            <wp:docPr id="145740934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09347" name="Grafik 14574093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E579C2D" w14:textId="7FC0C66B" w:rsidR="00481457" w:rsidRDefault="00481457" w:rsidP="00481457">
      <w:pPr>
        <w:spacing w:after="120" w:line="360" w:lineRule="auto"/>
        <w:ind w:left="567" w:right="1695"/>
        <w:rPr>
          <w:rFonts w:ascii="Arial" w:eastAsia="Arial" w:hAnsi="Arial" w:cs="Arial"/>
        </w:rPr>
      </w:pPr>
      <w:r>
        <w:rPr>
          <w:rFonts w:ascii="Arial" w:hAnsi="Arial"/>
        </w:rPr>
        <w:t xml:space="preserve">Vidéo du </w:t>
      </w:r>
      <w:proofErr w:type="spellStart"/>
      <w:r>
        <w:rPr>
          <w:rFonts w:ascii="Arial" w:hAnsi="Arial"/>
        </w:rPr>
        <w:t>Precea</w:t>
      </w:r>
      <w:proofErr w:type="spellEnd"/>
      <w:r>
        <w:rPr>
          <w:rFonts w:ascii="Arial" w:hAnsi="Arial"/>
        </w:rPr>
        <w:t xml:space="preserve">-TCC au travail : </w:t>
      </w:r>
    </w:p>
    <w:p w14:paraId="1E0E2A91" w14:textId="57DB0264" w:rsidR="004C2759" w:rsidRDefault="004C2759" w:rsidP="00481457">
      <w:pPr>
        <w:spacing w:after="120" w:line="360" w:lineRule="auto"/>
        <w:ind w:left="567" w:right="1695"/>
        <w:rPr>
          <w:rFonts w:ascii="Arial" w:eastAsia="Arial" w:hAnsi="Arial" w:cs="Arial"/>
          <w:b/>
          <w:bCs/>
        </w:rPr>
      </w:pPr>
      <w:r>
        <w:rPr>
          <w:rFonts w:ascii="Arial" w:hAnsi="Arial"/>
          <w:b/>
        </w:rPr>
        <w:t>www.amazone.de/yt-precea-tcc</w:t>
      </w:r>
    </w:p>
    <w:p w14:paraId="3519CBBE" w14:textId="77777777" w:rsidR="00481457" w:rsidRDefault="00481457" w:rsidP="00481457">
      <w:pPr>
        <w:spacing w:after="120" w:line="360" w:lineRule="auto"/>
        <w:ind w:left="567" w:right="1695"/>
        <w:rPr>
          <w:rFonts w:ascii="Arial" w:eastAsia="Arial" w:hAnsi="Arial" w:cs="Arial"/>
          <w:b/>
          <w:bCs/>
        </w:rPr>
      </w:pPr>
    </w:p>
    <w:p w14:paraId="626A9746" w14:textId="77777777" w:rsidR="00481457" w:rsidRDefault="00481457" w:rsidP="00481457">
      <w:pPr>
        <w:spacing w:after="120" w:line="360" w:lineRule="auto"/>
        <w:ind w:left="567" w:right="1695"/>
        <w:rPr>
          <w:rFonts w:ascii="Arial" w:eastAsia="Arial" w:hAnsi="Arial" w:cs="Arial"/>
          <w:b/>
          <w:bCs/>
        </w:rPr>
      </w:pPr>
    </w:p>
    <w:p w14:paraId="0D088BD1" w14:textId="0B2AC9CB" w:rsidR="00481457" w:rsidRDefault="00481457" w:rsidP="00481457">
      <w:pPr>
        <w:spacing w:after="120" w:line="360" w:lineRule="auto"/>
        <w:ind w:left="567" w:right="1695"/>
        <w:rPr>
          <w:rFonts w:ascii="Arial" w:eastAsia="Arial" w:hAnsi="Arial" w:cs="Arial"/>
          <w:b/>
          <w:bCs/>
        </w:rPr>
      </w:pPr>
      <w:r>
        <w:rPr>
          <w:rFonts w:ascii="Arial" w:hAnsi="Arial"/>
          <w:b/>
          <w:noProof/>
        </w:rPr>
        <w:drawing>
          <wp:inline distT="0" distB="0" distL="0" distR="0" wp14:anchorId="038C34DC" wp14:editId="15E835A7">
            <wp:extent cx="4053600" cy="2880000"/>
            <wp:effectExtent l="0" t="0" r="0" b="3175"/>
            <wp:docPr id="6612812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81220" name="Grafik 6612812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B4B216"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L'alimentation des différents rangs à partir de la trémie centrale se régule d’elle-même par le biais du Central </w:t>
      </w:r>
      <w:proofErr w:type="spellStart"/>
      <w:r>
        <w:rPr>
          <w:rFonts w:ascii="Arial" w:hAnsi="Arial"/>
        </w:rPr>
        <w:t>Seed</w:t>
      </w:r>
      <w:proofErr w:type="spellEnd"/>
      <w:r>
        <w:rPr>
          <w:rFonts w:ascii="Arial" w:hAnsi="Arial"/>
        </w:rPr>
        <w:t xml:space="preserve"> </w:t>
      </w:r>
      <w:proofErr w:type="spellStart"/>
      <w:r>
        <w:rPr>
          <w:rFonts w:ascii="Arial" w:hAnsi="Arial"/>
        </w:rPr>
        <w:t>Supply</w:t>
      </w:r>
      <w:proofErr w:type="spellEnd"/>
    </w:p>
    <w:p w14:paraId="402F6BFB" w14:textId="77777777" w:rsidR="00481457" w:rsidRDefault="00481457" w:rsidP="00481457">
      <w:pPr>
        <w:spacing w:after="120" w:line="360" w:lineRule="auto"/>
        <w:ind w:left="567" w:right="1695"/>
        <w:rPr>
          <w:rFonts w:ascii="Arial" w:eastAsia="Arial" w:hAnsi="Arial" w:cs="Arial"/>
        </w:rPr>
      </w:pPr>
    </w:p>
    <w:p w14:paraId="5169592E" w14:textId="77777777" w:rsidR="00481457" w:rsidRDefault="00481457" w:rsidP="00481457">
      <w:pPr>
        <w:spacing w:after="120" w:line="360" w:lineRule="auto"/>
        <w:ind w:left="567" w:right="1695"/>
        <w:rPr>
          <w:rFonts w:ascii="Arial" w:eastAsia="Arial" w:hAnsi="Arial" w:cs="Arial"/>
        </w:rPr>
      </w:pPr>
    </w:p>
    <w:p w14:paraId="7858609E" w14:textId="41864D2B" w:rsidR="00481457" w:rsidRPr="00481457" w:rsidRDefault="00481457" w:rsidP="0048145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84B3313" wp14:editId="293FF6B5">
            <wp:extent cx="4060800" cy="2880000"/>
            <wp:effectExtent l="0" t="0" r="3810" b="3175"/>
            <wp:docPr id="180022140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21400" name="Grafik 18002214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D087EEC" w14:textId="77777777" w:rsidR="00481457" w:rsidRP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-TCC – Débits de chantier exceptionnels et précision maximale</w:t>
      </w:r>
    </w:p>
    <w:p w14:paraId="43880798" w14:textId="77777777" w:rsidR="00481457" w:rsidRDefault="00481457" w:rsidP="00161FDD">
      <w:pPr>
        <w:spacing w:after="120" w:line="360" w:lineRule="auto"/>
        <w:ind w:left="567" w:right="1695"/>
        <w:rPr>
          <w:rFonts w:ascii="Arial" w:eastAsia="Arial" w:hAnsi="Arial" w:cs="Arial"/>
        </w:rPr>
      </w:pPr>
    </w:p>
    <w:p w14:paraId="4179668B" w14:textId="77777777" w:rsidR="00481457" w:rsidRDefault="00481457" w:rsidP="00161FDD">
      <w:pPr>
        <w:spacing w:after="120" w:line="360" w:lineRule="auto"/>
        <w:ind w:left="567" w:right="1695"/>
        <w:rPr>
          <w:rFonts w:ascii="Arial" w:eastAsia="Arial" w:hAnsi="Arial" w:cs="Arial"/>
        </w:rPr>
      </w:pPr>
    </w:p>
    <w:p w14:paraId="18A0C2BA" w14:textId="600DB589"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08FA3558" wp14:editId="4F988555">
            <wp:extent cx="6120000" cy="1886400"/>
            <wp:effectExtent l="0" t="0" r="1905" b="6350"/>
            <wp:docPr id="18807069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06916" name="Grafik 18807069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1886400"/>
                    </a:xfrm>
                    <a:prstGeom prst="rect">
                      <a:avLst/>
                    </a:prstGeom>
                  </pic:spPr>
                </pic:pic>
              </a:graphicData>
            </a:graphic>
          </wp:inline>
        </w:drawing>
      </w:r>
    </w:p>
    <w:p w14:paraId="52F6353A"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Semoir </w:t>
      </w:r>
      <w:proofErr w:type="spellStart"/>
      <w:r>
        <w:rPr>
          <w:rFonts w:ascii="Arial" w:hAnsi="Arial"/>
        </w:rPr>
        <w:t>monograine</w:t>
      </w:r>
      <w:proofErr w:type="spellEnd"/>
      <w:r>
        <w:rPr>
          <w:rFonts w:ascii="Arial" w:hAnsi="Arial"/>
        </w:rPr>
        <w:t xml:space="preserve"> traîné </w:t>
      </w:r>
      <w:proofErr w:type="spellStart"/>
      <w:r>
        <w:rPr>
          <w:rFonts w:ascii="Arial" w:hAnsi="Arial"/>
        </w:rPr>
        <w:t>Precea</w:t>
      </w:r>
      <w:proofErr w:type="spellEnd"/>
      <w:r>
        <w:rPr>
          <w:rFonts w:ascii="Arial" w:hAnsi="Arial"/>
        </w:rPr>
        <w:t>-TCC – De nouvelles références en termes de précision et de débit de chantier</w:t>
      </w:r>
    </w:p>
    <w:p w14:paraId="44E4B671" w14:textId="77777777" w:rsidR="00481457" w:rsidRDefault="00481457" w:rsidP="00161FDD">
      <w:pPr>
        <w:spacing w:after="120" w:line="360" w:lineRule="auto"/>
        <w:ind w:left="567" w:right="1695"/>
        <w:rPr>
          <w:rFonts w:ascii="Arial" w:eastAsia="Arial" w:hAnsi="Arial" w:cs="Arial"/>
        </w:rPr>
      </w:pPr>
    </w:p>
    <w:p w14:paraId="52A85FA1" w14:textId="77777777" w:rsidR="00481457" w:rsidRDefault="00481457" w:rsidP="00161FDD">
      <w:pPr>
        <w:spacing w:after="120" w:line="360" w:lineRule="auto"/>
        <w:ind w:left="567" w:right="1695"/>
        <w:rPr>
          <w:rFonts w:ascii="Arial" w:eastAsia="Arial" w:hAnsi="Arial" w:cs="Arial"/>
        </w:rPr>
      </w:pPr>
    </w:p>
    <w:p w14:paraId="08A3C095" w14:textId="329D91E8"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F33311" wp14:editId="6214B60A">
            <wp:extent cx="4053600" cy="2880000"/>
            <wp:effectExtent l="0" t="0" r="0" b="3175"/>
            <wp:docPr id="41850009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00090" name="Grafik 4185000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38A8AD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Le réglage automatique des sélecteurs </w:t>
      </w:r>
      <w:proofErr w:type="spellStart"/>
      <w:r>
        <w:rPr>
          <w:rFonts w:ascii="Arial" w:hAnsi="Arial"/>
        </w:rPr>
        <w:t>SmartControl</w:t>
      </w:r>
      <w:proofErr w:type="spellEnd"/>
      <w:r>
        <w:rPr>
          <w:rFonts w:ascii="Arial" w:hAnsi="Arial"/>
        </w:rPr>
        <w:t xml:space="preserve"> prend en charge le réglage des sélecteurs en continu, permettant au chauffeur de rester concentré sur sa conduite</w:t>
      </w:r>
    </w:p>
    <w:p w14:paraId="5EEC13A2" w14:textId="77777777" w:rsidR="00481457" w:rsidRDefault="00481457" w:rsidP="00161FDD">
      <w:pPr>
        <w:spacing w:after="120" w:line="360" w:lineRule="auto"/>
        <w:ind w:left="567" w:right="1695"/>
        <w:rPr>
          <w:rFonts w:ascii="Arial" w:eastAsia="Arial" w:hAnsi="Arial" w:cs="Arial"/>
        </w:rPr>
      </w:pPr>
    </w:p>
    <w:p w14:paraId="2180EE1A" w14:textId="77777777" w:rsidR="00481457" w:rsidRDefault="00481457" w:rsidP="00161FDD">
      <w:pPr>
        <w:spacing w:after="120" w:line="360" w:lineRule="auto"/>
        <w:ind w:left="567" w:right="1695"/>
        <w:rPr>
          <w:rFonts w:ascii="Arial" w:eastAsia="Arial" w:hAnsi="Arial" w:cs="Arial"/>
        </w:rPr>
      </w:pPr>
    </w:p>
    <w:p w14:paraId="7B2A9231" w14:textId="11DBFE55"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3FB8CAA9" wp14:editId="379B7643">
            <wp:extent cx="4053600" cy="2880000"/>
            <wp:effectExtent l="0" t="0" r="0" b="3175"/>
            <wp:docPr id="148479380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93805" name="Grafik 14847938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04F9A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Commande ISOBUS AMAZONE des modèles </w:t>
      </w:r>
      <w:proofErr w:type="spellStart"/>
      <w:r>
        <w:rPr>
          <w:rFonts w:ascii="Arial" w:hAnsi="Arial"/>
        </w:rPr>
        <w:t>Precea</w:t>
      </w:r>
      <w:proofErr w:type="spellEnd"/>
      <w:r>
        <w:rPr>
          <w:rFonts w:ascii="Arial" w:hAnsi="Arial"/>
        </w:rPr>
        <w:t>. Tous les paramètres importants d’un seul coup d'œil !</w:t>
      </w:r>
    </w:p>
    <w:p w14:paraId="787E0634" w14:textId="77777777" w:rsidR="00481457" w:rsidRDefault="00481457" w:rsidP="00161FDD">
      <w:pPr>
        <w:spacing w:after="120" w:line="360" w:lineRule="auto"/>
        <w:ind w:left="567" w:right="1695"/>
        <w:rPr>
          <w:rFonts w:ascii="Arial" w:eastAsia="Arial" w:hAnsi="Arial" w:cs="Arial"/>
        </w:rPr>
      </w:pPr>
    </w:p>
    <w:p w14:paraId="4639E5D6" w14:textId="77777777" w:rsidR="00481457" w:rsidRDefault="00481457" w:rsidP="00161FDD">
      <w:pPr>
        <w:spacing w:after="120" w:line="360" w:lineRule="auto"/>
        <w:ind w:left="567" w:right="1695"/>
        <w:rPr>
          <w:rFonts w:ascii="Arial" w:eastAsia="Arial" w:hAnsi="Arial" w:cs="Arial"/>
        </w:rPr>
      </w:pPr>
    </w:p>
    <w:p w14:paraId="5F1C117C" w14:textId="0C12CEDF"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4896FD07" wp14:editId="28C20DE3">
            <wp:extent cx="6112800" cy="2880000"/>
            <wp:effectExtent l="0" t="0" r="0" b="3175"/>
            <wp:docPr id="14564194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19427" name="Grafik 14564194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800" cy="2880000"/>
                    </a:xfrm>
                    <a:prstGeom prst="rect">
                      <a:avLst/>
                    </a:prstGeom>
                  </pic:spPr>
                </pic:pic>
              </a:graphicData>
            </a:graphic>
          </wp:inline>
        </w:drawing>
      </w:r>
    </w:p>
    <w:p w14:paraId="143FCFE6" w14:textId="77777777" w:rsidR="00481457" w:rsidRPr="00481457" w:rsidRDefault="00481457" w:rsidP="00481457">
      <w:pPr>
        <w:spacing w:after="120" w:line="360" w:lineRule="auto"/>
        <w:ind w:left="567" w:right="1695"/>
        <w:rPr>
          <w:rFonts w:ascii="Arial" w:eastAsia="Arial" w:hAnsi="Arial" w:cs="Arial"/>
        </w:rPr>
      </w:pPr>
      <w:r>
        <w:rPr>
          <w:rFonts w:ascii="Arial" w:hAnsi="Arial"/>
        </w:rPr>
        <w:t>Levées homogènes grâce à l’essieu télescopique et à un passage des roues entre les rangs de semis</w:t>
      </w:r>
    </w:p>
    <w:p w14:paraId="2540D4FD" w14:textId="77777777" w:rsidR="00481457" w:rsidRDefault="00481457" w:rsidP="00161FDD">
      <w:pPr>
        <w:spacing w:after="120" w:line="360" w:lineRule="auto"/>
        <w:ind w:left="567" w:right="1695"/>
        <w:rPr>
          <w:rFonts w:ascii="Arial" w:eastAsia="Arial" w:hAnsi="Arial" w:cs="Arial"/>
        </w:rPr>
      </w:pPr>
    </w:p>
    <w:p w14:paraId="6FF8D3BC" w14:textId="77777777" w:rsidR="00481457" w:rsidRDefault="00481457" w:rsidP="00161FDD">
      <w:pPr>
        <w:spacing w:after="120" w:line="360" w:lineRule="auto"/>
        <w:ind w:left="567" w:right="1695"/>
        <w:rPr>
          <w:rFonts w:ascii="Arial" w:eastAsia="Arial" w:hAnsi="Arial" w:cs="Arial"/>
        </w:rPr>
      </w:pPr>
    </w:p>
    <w:p w14:paraId="1DDEE890" w14:textId="167D464A"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5EFE4DDD" wp14:editId="1480B590">
            <wp:extent cx="4053600" cy="2880000"/>
            <wp:effectExtent l="0" t="0" r="0" b="3175"/>
            <wp:docPr id="148064032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40329" name="Grafik 14806403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189FB5" w14:textId="77777777" w:rsidR="00425F72" w:rsidRPr="00425F72" w:rsidRDefault="00425F72" w:rsidP="00425F72">
      <w:pPr>
        <w:spacing w:after="120" w:line="360" w:lineRule="auto"/>
        <w:ind w:left="567" w:right="1695"/>
        <w:rPr>
          <w:rFonts w:ascii="Arial" w:eastAsia="Arial" w:hAnsi="Arial" w:cs="Arial"/>
        </w:rPr>
      </w:pPr>
      <w:r>
        <w:rPr>
          <w:rFonts w:ascii="Arial" w:hAnsi="Arial"/>
        </w:rPr>
        <w:t>La bonne accessibilité des trémies permet un remplissage rapide et simple</w:t>
      </w:r>
    </w:p>
    <w:p w14:paraId="4D8C8735" w14:textId="77777777" w:rsidR="00481457" w:rsidRDefault="00481457" w:rsidP="00161FDD">
      <w:pPr>
        <w:spacing w:after="120" w:line="360" w:lineRule="auto"/>
        <w:ind w:left="567"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49802E42"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8"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6F367FFB">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884F1A2">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9CF8096">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43060A8C">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918AF32">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24126" w14:textId="77777777" w:rsidR="00580283" w:rsidRDefault="00580283">
      <w:r>
        <w:separator/>
      </w:r>
    </w:p>
  </w:endnote>
  <w:endnote w:type="continuationSeparator" w:id="0">
    <w:p w14:paraId="1DE99FA0" w14:textId="77777777" w:rsidR="00580283" w:rsidRDefault="005802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82A03" w14:textId="77777777" w:rsidR="00580283" w:rsidRDefault="00580283">
      <w:r>
        <w:separator/>
      </w:r>
    </w:p>
  </w:footnote>
  <w:footnote w:type="continuationSeparator" w:id="0">
    <w:p w14:paraId="2EA18758" w14:textId="77777777" w:rsidR="00580283" w:rsidRDefault="005802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F55B2D"/>
    <w:multiLevelType w:val="hybridMultilevel"/>
    <w:tmpl w:val="A19EBD1A"/>
    <w:lvl w:ilvl="0" w:tplc="2D06C5E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AE10C9"/>
    <w:multiLevelType w:val="hybridMultilevel"/>
    <w:tmpl w:val="6498A09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9D64FCA"/>
    <w:multiLevelType w:val="hybridMultilevel"/>
    <w:tmpl w:val="68BEA43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0"/>
  </w:num>
  <w:num w:numId="2" w16cid:durableId="1510219160">
    <w:abstractNumId w:val="0"/>
  </w:num>
  <w:num w:numId="3" w16cid:durableId="613364659">
    <w:abstractNumId w:val="6"/>
  </w:num>
  <w:num w:numId="4" w16cid:durableId="1043675452">
    <w:abstractNumId w:val="7"/>
  </w:num>
  <w:num w:numId="5" w16cid:durableId="2011105495">
    <w:abstractNumId w:val="4"/>
  </w:num>
  <w:num w:numId="6" w16cid:durableId="240917465">
    <w:abstractNumId w:val="1"/>
  </w:num>
  <w:num w:numId="7" w16cid:durableId="750658751">
    <w:abstractNumId w:val="17"/>
  </w:num>
  <w:num w:numId="8" w16cid:durableId="294531490">
    <w:abstractNumId w:val="16"/>
  </w:num>
  <w:num w:numId="9" w16cid:durableId="2071071478">
    <w:abstractNumId w:val="5"/>
  </w:num>
  <w:num w:numId="10" w16cid:durableId="136532471">
    <w:abstractNumId w:val="11"/>
  </w:num>
  <w:num w:numId="11" w16cid:durableId="2055814173">
    <w:abstractNumId w:val="13"/>
  </w:num>
  <w:num w:numId="12" w16cid:durableId="980188096">
    <w:abstractNumId w:val="15"/>
  </w:num>
  <w:num w:numId="13" w16cid:durableId="541139897">
    <w:abstractNumId w:val="20"/>
  </w:num>
  <w:num w:numId="14" w16cid:durableId="870340174">
    <w:abstractNumId w:val="9"/>
  </w:num>
  <w:num w:numId="15" w16cid:durableId="1051733553">
    <w:abstractNumId w:val="3"/>
  </w:num>
  <w:num w:numId="16" w16cid:durableId="2091533952">
    <w:abstractNumId w:val="19"/>
  </w:num>
  <w:num w:numId="17" w16cid:durableId="390271143">
    <w:abstractNumId w:val="18"/>
  </w:num>
  <w:num w:numId="18" w16cid:durableId="799540887">
    <w:abstractNumId w:val="21"/>
  </w:num>
  <w:num w:numId="19" w16cid:durableId="787774090">
    <w:abstractNumId w:val="14"/>
  </w:num>
  <w:num w:numId="20" w16cid:durableId="1753430458">
    <w:abstractNumId w:val="12"/>
  </w:num>
  <w:num w:numId="21" w16cid:durableId="895438009">
    <w:abstractNumId w:val="2"/>
  </w:num>
  <w:num w:numId="22" w16cid:durableId="1854147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36"/>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5F72"/>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457"/>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2759"/>
    <w:rsid w:val="004C3721"/>
    <w:rsid w:val="004C422B"/>
    <w:rsid w:val="004C549D"/>
    <w:rsid w:val="004C61E9"/>
    <w:rsid w:val="004C7E4E"/>
    <w:rsid w:val="004D0790"/>
    <w:rsid w:val="004D152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283"/>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E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15F"/>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243B"/>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BD7"/>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57895"/>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amazone.fr"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france/"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france"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france"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1151</Words>
  <Characters>7257</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2023-09-06T14:02:00Z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