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076CA9" w14:textId="173B0099" w:rsidR="00481457" w:rsidRPr="00481457" w:rsidRDefault="00481457" w:rsidP="00481457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Новая прицепная сеялка точного высева AMAZONE </w:t>
      </w:r>
      <w:proofErr w:type="spellStart"/>
      <w:r>
        <w:rPr>
          <w:rFonts w:ascii="Arial" w:hAnsi="Arial"/>
          <w:b/>
          <w:sz w:val="28"/>
        </w:rPr>
        <w:t>Precea</w:t>
      </w:r>
      <w:proofErr w:type="spellEnd"/>
      <w:r>
        <w:rPr>
          <w:rFonts w:ascii="Arial" w:hAnsi="Arial"/>
          <w:b/>
          <w:sz w:val="28"/>
        </w:rPr>
        <w:t xml:space="preserve">-TCC </w:t>
      </w:r>
    </w:p>
    <w:p w14:paraId="65EA582A" w14:textId="02E06963" w:rsidR="00161FDD" w:rsidRDefault="00161FDD" w:rsidP="00481457">
      <w:pPr>
        <w:spacing w:after="120" w:line="360" w:lineRule="auto"/>
        <w:ind w:left="567" w:right="1695"/>
        <w:rPr>
          <w:rFonts w:ascii="Arial" w:hAnsi="Arial" w:cs="Arial"/>
        </w:rPr>
      </w:pPr>
    </w:p>
    <w:p w14:paraId="67E0FF3F" w14:textId="77777777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AMAZONE расширяет линейку сеялок точного высева и представляет прицепные модели </w:t>
      </w:r>
      <w:proofErr w:type="spellStart"/>
      <w:r>
        <w:rPr>
          <w:rFonts w:ascii="Arial" w:hAnsi="Arial"/>
        </w:rPr>
        <w:t>Precea</w:t>
      </w:r>
      <w:proofErr w:type="spellEnd"/>
      <w:r>
        <w:rPr>
          <w:rFonts w:ascii="Arial" w:hAnsi="Arial"/>
        </w:rPr>
        <w:t xml:space="preserve"> 9000-TCC и 12000-TCC с шириной захвата 9 и 12 м. Разработанный специально для подрядных организаций и крупных хозяйств вариант подкупает действенной системой дозирования под повышенным давлением, большим объёмом бункера, а также инновационной системой подачи посевного материала Central </w:t>
      </w:r>
      <w:proofErr w:type="spellStart"/>
      <w:r>
        <w:rPr>
          <w:rFonts w:ascii="Arial" w:hAnsi="Arial"/>
        </w:rPr>
        <w:t>Seed</w:t>
      </w:r>
      <w:proofErr w:type="spellEnd"/>
      <w:r>
        <w:rPr>
          <w:rFonts w:ascii="Arial" w:hAnsi="Arial"/>
        </w:rPr>
        <w:t xml:space="preserve"> Supply. Прецизионная укладка посевного материала обеспечивает высокую всхожесть даже при высокой рабочей скорости до 15 км/ч. </w:t>
      </w:r>
    </w:p>
    <w:p w14:paraId="14C1264B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DAD0FD2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Концепция центрального бункера ‒ точное дозирование в каждом ряду</w:t>
      </w:r>
    </w:p>
    <w:p w14:paraId="3344AF66" w14:textId="77777777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Для особенно высокой производительности и оптимального по времени заполнения новая </w:t>
      </w:r>
      <w:proofErr w:type="spellStart"/>
      <w:r>
        <w:rPr>
          <w:rFonts w:ascii="Arial" w:hAnsi="Arial"/>
        </w:rPr>
        <w:t>Precea</w:t>
      </w:r>
      <w:proofErr w:type="spellEnd"/>
      <w:r>
        <w:rPr>
          <w:rFonts w:ascii="Arial" w:hAnsi="Arial"/>
        </w:rPr>
        <w:t xml:space="preserve">-TCC оснащается центральным семенным бункером объёмом 2.000 л, вмещающим два </w:t>
      </w:r>
      <w:proofErr w:type="spellStart"/>
      <w:r>
        <w:rPr>
          <w:rFonts w:ascii="Arial" w:hAnsi="Arial"/>
        </w:rPr>
        <w:t>биг-бэга</w:t>
      </w:r>
      <w:proofErr w:type="spellEnd"/>
      <w:r>
        <w:rPr>
          <w:rFonts w:ascii="Arial" w:hAnsi="Arial"/>
        </w:rPr>
        <w:t xml:space="preserve">. С новой системой подачи посевного материала Central </w:t>
      </w:r>
      <w:proofErr w:type="spellStart"/>
      <w:r>
        <w:rPr>
          <w:rFonts w:ascii="Arial" w:hAnsi="Arial"/>
        </w:rPr>
        <w:t>Seed</w:t>
      </w:r>
      <w:proofErr w:type="spellEnd"/>
      <w:r>
        <w:rPr>
          <w:rFonts w:ascii="Arial" w:hAnsi="Arial"/>
        </w:rPr>
        <w:t xml:space="preserve"> Supply посевной материал из центрального бункера за счет потока воздуха подается к дозирующим устройствам. Там посевной материал временно размещается в небольшом запасном контейнере для каждого ряда. При достижении максимального уровня заполнения этого распределительного элемента поток воздуха автоматически прекращается, вместе с тем и дальнейшая подача посевного материала. При снижении уровня поток воздуха автоматически возобновляется и способствует подаче посевного материала из центрального бункера к отдельным рядам. За счет интеллектуального режима подачи воздуха системы Central </w:t>
      </w:r>
      <w:proofErr w:type="spellStart"/>
      <w:r>
        <w:rPr>
          <w:rFonts w:ascii="Arial" w:hAnsi="Arial"/>
        </w:rPr>
        <w:t>Seed</w:t>
      </w:r>
      <w:proofErr w:type="spellEnd"/>
      <w:r>
        <w:rPr>
          <w:rFonts w:ascii="Arial" w:hAnsi="Arial"/>
        </w:rPr>
        <w:t xml:space="preserve"> Supply каждое дозирующее устройство само обеспечивает себя посевным материалом без необходимости сложных датчиков или какого-либо электронного управления системой. </w:t>
      </w:r>
    </w:p>
    <w:p w14:paraId="204C480D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D09BA2A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>Точное дозирование в каждом ряду</w:t>
      </w:r>
    </w:p>
    <w:p w14:paraId="2937BC7E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При дозировании посевного материала AMAZONE делает ставку на прецизионные дозирующие устройства </w:t>
      </w:r>
      <w:proofErr w:type="spellStart"/>
      <w:r>
        <w:rPr>
          <w:rFonts w:ascii="Arial" w:hAnsi="Arial"/>
        </w:rPr>
        <w:t>PreTeC</w:t>
      </w:r>
      <w:proofErr w:type="spellEnd"/>
      <w:r>
        <w:rPr>
          <w:rFonts w:ascii="Arial" w:hAnsi="Arial"/>
        </w:rPr>
        <w:t xml:space="preserve">, работающие по принципу повышенного давления. При этом посевной материал прижимается к дозирующему диску под действием сжатого воздуха. Уплотнитель вращается с дозирующим диском, что обеспечивает значительно меньшую потребляемую мощность сервоприводов отдельных рядов. Связанная с </w:t>
      </w:r>
      <w:proofErr w:type="spellStart"/>
      <w:r>
        <w:rPr>
          <w:rFonts w:ascii="Arial" w:hAnsi="Arial"/>
        </w:rPr>
        <w:t>оптодатчиками</w:t>
      </w:r>
      <w:proofErr w:type="spellEnd"/>
      <w:r>
        <w:rPr>
          <w:rFonts w:ascii="Arial" w:hAnsi="Arial"/>
        </w:rPr>
        <w:t xml:space="preserve"> система регулировки </w:t>
      </w:r>
      <w:proofErr w:type="spellStart"/>
      <w:r>
        <w:rPr>
          <w:rFonts w:ascii="Arial" w:hAnsi="Arial"/>
        </w:rPr>
        <w:t>отсекателей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SmartControl</w:t>
      </w:r>
      <w:proofErr w:type="spellEnd"/>
      <w:r>
        <w:rPr>
          <w:rFonts w:ascii="Arial" w:hAnsi="Arial"/>
        </w:rPr>
        <w:t xml:space="preserve"> с автоматической </w:t>
      </w:r>
      <w:proofErr w:type="spellStart"/>
      <w:r>
        <w:rPr>
          <w:rFonts w:ascii="Arial" w:hAnsi="Arial"/>
        </w:rPr>
        <w:t>подрегулировкой</w:t>
      </w:r>
      <w:proofErr w:type="spellEnd"/>
      <w:r>
        <w:rPr>
          <w:rFonts w:ascii="Arial" w:hAnsi="Arial"/>
        </w:rPr>
        <w:t xml:space="preserve"> эффективно предотвращает просевы и двойники. Дозирующий диск с сервоприводом вращается в зависимости от скорости и требуемой нормы высева и продвигает посевной материал в направлении высевающей трубки. На этом месте усилие нажатия прекращается, зерно прецизионно попадает в посевную борозду, задерживается улавливающим каточком и в заключение надежно размещается. </w:t>
      </w:r>
    </w:p>
    <w:p w14:paraId="5A470284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1386C80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Точную укладку посевного материала обеспечивает </w:t>
      </w:r>
      <w:proofErr w:type="spellStart"/>
      <w:r>
        <w:rPr>
          <w:rFonts w:ascii="Arial" w:hAnsi="Arial"/>
        </w:rPr>
        <w:t>бороздообразователь</w:t>
      </w:r>
      <w:proofErr w:type="spellEnd"/>
      <w:r>
        <w:rPr>
          <w:rFonts w:ascii="Arial" w:hAnsi="Arial"/>
        </w:rPr>
        <w:t xml:space="preserve">. Два опорных катка и высокое, гидравлически регулируемое давление на сошник способствуют равномерному ведению по глубине. Для большего комфорта AMAZONE предлагает автоматическую регулировку давления на сошник </w:t>
      </w:r>
      <w:proofErr w:type="spellStart"/>
      <w:r>
        <w:rPr>
          <w:rFonts w:ascii="Arial" w:hAnsi="Arial"/>
        </w:rPr>
        <w:t>SmartForce</w:t>
      </w:r>
      <w:proofErr w:type="spellEnd"/>
      <w:r>
        <w:rPr>
          <w:rFonts w:ascii="Arial" w:hAnsi="Arial"/>
        </w:rPr>
        <w:t xml:space="preserve">. Она способствует постоянному поддержанию вертикальной силы, тем самым, и равномерной укладке посевного материала, в частности, при переменных почвенных условиях. </w:t>
      </w:r>
    </w:p>
    <w:p w14:paraId="1CA74F95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9A4BBF4" w14:textId="63F820F9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Сервопривод дозирования </w:t>
      </w:r>
      <w:proofErr w:type="spellStart"/>
      <w:r>
        <w:rPr>
          <w:rFonts w:ascii="Arial" w:hAnsi="Arial"/>
        </w:rPr>
        <w:t>ElectricDrive</w:t>
      </w:r>
      <w:proofErr w:type="spellEnd"/>
      <w:r>
        <w:rPr>
          <w:rFonts w:ascii="Arial" w:hAnsi="Arial"/>
        </w:rPr>
        <w:t xml:space="preserve"> позволяет комфортно провести настройку требуемой нормы высева через ISOBUS- терминал и служит основой для точной дифференцированной регулировки нормы высева с помощью GPS и карты зон полей. Кроме того, именно при большой ширине захвата </w:t>
      </w:r>
      <w:proofErr w:type="spellStart"/>
      <w:r>
        <w:rPr>
          <w:rFonts w:ascii="Arial" w:hAnsi="Arial"/>
        </w:rPr>
        <w:t>Section</w:t>
      </w:r>
      <w:proofErr w:type="spellEnd"/>
      <w:r>
        <w:rPr>
          <w:rFonts w:ascii="Arial" w:hAnsi="Arial"/>
        </w:rPr>
        <w:t xml:space="preserve"> Control позволяет активно сэкономить в каждом отдельном ряду посевной материал на клиньях и разворотной полосе. </w:t>
      </w:r>
      <w:r>
        <w:rPr>
          <w:rFonts w:ascii="Arial" w:hAnsi="Arial"/>
        </w:rPr>
        <w:lastRenderedPageBreak/>
        <w:t>Кроме того, создаются идеальные условия для механической борьбы с сорняками с помощью машины для междурядной обработки.</w:t>
      </w:r>
    </w:p>
    <w:p w14:paraId="033693C3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FCB5BA8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hAnsi="Arial"/>
          <w:b/>
        </w:rPr>
        <w:t>CurveControl</w:t>
      </w:r>
      <w:proofErr w:type="spellEnd"/>
      <w:r>
        <w:rPr>
          <w:rFonts w:ascii="Arial" w:hAnsi="Arial"/>
          <w:b/>
        </w:rPr>
        <w:t xml:space="preserve"> – Оптимизированная укладка посевного материала при прохождении поворотов </w:t>
      </w:r>
    </w:p>
    <w:p w14:paraId="5787F19B" w14:textId="77777777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Сервопривод дозирования по отдельным рядам позволяет сохранить неизменным расстояние между семенами в ряду по всей ширине захвата даже при прохождении поворотов. С помощью датчика угловой скорости определяется разница между скоростями переднего хода на внутренней и внешней стороне поворота. На основании этого инновационная система </w:t>
      </w:r>
      <w:proofErr w:type="spellStart"/>
      <w:r>
        <w:rPr>
          <w:rFonts w:ascii="Arial" w:hAnsi="Arial"/>
        </w:rPr>
        <w:t>CurveControl</w:t>
      </w:r>
      <w:proofErr w:type="spellEnd"/>
      <w:r>
        <w:rPr>
          <w:rFonts w:ascii="Arial" w:hAnsi="Arial"/>
        </w:rPr>
        <w:t xml:space="preserve"> соответственно адаптирует число оборотов дозирующих дисков, так что расстояние между семенами остается неизменным даже на поворотах. Равномерная удаленность позволяет растениям получать достаточное количество питательных веществ. Тем самым, посевы становятся однородными и обеспечивается равномерная степень созревания.</w:t>
      </w:r>
    </w:p>
    <w:p w14:paraId="2DED50EC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54C9C48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Двухсекционный бункер для удобрений</w:t>
      </w:r>
    </w:p>
    <w:p w14:paraId="371428E2" w14:textId="77777777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Для одновременного внесения удобрений </w:t>
      </w:r>
      <w:proofErr w:type="spellStart"/>
      <w:r>
        <w:rPr>
          <w:rFonts w:ascii="Arial" w:hAnsi="Arial"/>
        </w:rPr>
        <w:t>Precea</w:t>
      </w:r>
      <w:proofErr w:type="spellEnd"/>
      <w:r>
        <w:rPr>
          <w:rFonts w:ascii="Arial" w:hAnsi="Arial"/>
        </w:rPr>
        <w:t xml:space="preserve">-TCC оснащается двухсекционным бункером с удобным доступом, общий объём которого составляет 6.000 л. В каждой секции бункера предусмотрено отдельное электрическое дозирующее устройство, соединенное с распределительной головкой, за счет чего серийно предлагается функция одностороннего включения. Внесение удобрений осуществляется с помощью HD-сошника для удобрений </w:t>
      </w:r>
      <w:proofErr w:type="spellStart"/>
      <w:r>
        <w:rPr>
          <w:rFonts w:ascii="Arial" w:hAnsi="Arial"/>
        </w:rPr>
        <w:t>FerTeC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twin</w:t>
      </w:r>
      <w:proofErr w:type="spellEnd"/>
      <w:r>
        <w:rPr>
          <w:rFonts w:ascii="Arial" w:hAnsi="Arial"/>
        </w:rPr>
        <w:t>. Единовременно устанавливается разница в глубине укладки посевного материала и удобрений. Если затем глубина посева изменяется, то сошник для удобрений автоматически переставляет глубину в равном соотношении.</w:t>
      </w:r>
    </w:p>
    <w:p w14:paraId="16882BD6" w14:textId="77777777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7FAD353" w14:textId="77777777" w:rsidR="00A12DA8" w:rsidRPr="00481457" w:rsidRDefault="00A12DA8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B713ED2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lastRenderedPageBreak/>
        <w:t xml:space="preserve">Телескопическое шасси </w:t>
      </w:r>
    </w:p>
    <w:p w14:paraId="6283B429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Precea</w:t>
      </w:r>
      <w:proofErr w:type="spellEnd"/>
      <w:r>
        <w:rPr>
          <w:rFonts w:ascii="Arial" w:hAnsi="Arial"/>
        </w:rPr>
        <w:t xml:space="preserve">-TCC предлагается с 12 или 16 рядами для междурядий 70, 75 и 80 см. Для шасси </w:t>
      </w:r>
      <w:proofErr w:type="spellStart"/>
      <w:r>
        <w:rPr>
          <w:rFonts w:ascii="Arial" w:hAnsi="Arial"/>
        </w:rPr>
        <w:t>Precea</w:t>
      </w:r>
      <w:proofErr w:type="spellEnd"/>
      <w:r>
        <w:rPr>
          <w:rFonts w:ascii="Arial" w:hAnsi="Arial"/>
        </w:rPr>
        <w:t xml:space="preserve"> предлагается телескопическая ось. Таким образом, при работе на поле можно сместить крупногабаритные шины для прохождения колес между посевными рядами и предотвращения уплотнений непосредственно под посевными рядами. С телескопически задвигающимися колесами </w:t>
      </w:r>
      <w:proofErr w:type="spellStart"/>
      <w:r>
        <w:rPr>
          <w:rFonts w:ascii="Arial" w:hAnsi="Arial"/>
        </w:rPr>
        <w:t>Precea</w:t>
      </w:r>
      <w:proofErr w:type="spellEnd"/>
      <w:r>
        <w:rPr>
          <w:rFonts w:ascii="Arial" w:hAnsi="Arial"/>
        </w:rPr>
        <w:t xml:space="preserve">-TCC можно комфортно транспортировать по общественным дорогам при общей ширине 3 м. </w:t>
      </w:r>
    </w:p>
    <w:p w14:paraId="71A379BC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55346D6" w14:textId="27821044" w:rsidR="009477A9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К осени 2023 года новые модели будут предлагаться также для посева пропашных культур узкорядным способом, таких как свёкла, рапс или соя при междурядье 45 и 50 см и количестве рядов 18 или 24.</w:t>
      </w:r>
    </w:p>
    <w:p w14:paraId="52A1721F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19A4FD" w14:textId="77777777" w:rsidR="00D01F9A" w:rsidRDefault="00D01F9A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FFF21" w14:textId="7909761E" w:rsidR="00481457" w:rsidRPr="004C2759" w:rsidRDefault="00481457" w:rsidP="004C2759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Точная укладка семян благодаря прецизионному дозированию через повышенное давление с коротким каналом подачи</w:t>
      </w:r>
    </w:p>
    <w:p w14:paraId="632B836E" w14:textId="039ABAAB" w:rsidR="00481457" w:rsidRPr="004C2759" w:rsidRDefault="00481457" w:rsidP="004C2759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Простое и интуитивное управление с ISOBUS-терминалом AMAZONE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</w:t>
      </w:r>
    </w:p>
    <w:p w14:paraId="175E0920" w14:textId="3B81151A" w:rsidR="00481457" w:rsidRPr="004C2759" w:rsidRDefault="00481457" w:rsidP="004C2759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Высокий комфорт при регулировке сошника для мульчированного посева </w:t>
      </w:r>
      <w:proofErr w:type="spellStart"/>
      <w:r>
        <w:rPr>
          <w:rFonts w:ascii="Arial" w:hAnsi="Arial"/>
        </w:rPr>
        <w:t>PreTeC</w:t>
      </w:r>
      <w:proofErr w:type="spellEnd"/>
      <w:r>
        <w:rPr>
          <w:rFonts w:ascii="Arial" w:hAnsi="Arial"/>
        </w:rPr>
        <w:t>, поскольку все необходимые настройки могут осуществляться без инструментов</w:t>
      </w:r>
    </w:p>
    <w:p w14:paraId="0D90D543" w14:textId="58E8BDE9" w:rsidR="00481457" w:rsidRPr="004C2759" w:rsidRDefault="00481457" w:rsidP="004C2759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Высочайшая производительность благодаря большому объёму бункера с центральной системой подачи посевного материала Central </w:t>
      </w:r>
      <w:proofErr w:type="spellStart"/>
      <w:r>
        <w:rPr>
          <w:rFonts w:ascii="Arial" w:hAnsi="Arial"/>
        </w:rPr>
        <w:t>Seed</w:t>
      </w:r>
      <w:proofErr w:type="spellEnd"/>
    </w:p>
    <w:p w14:paraId="20781523" w14:textId="0E962F7B" w:rsidR="000678F3" w:rsidRPr="004C2759" w:rsidRDefault="00481457" w:rsidP="004C2759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CurveControl</w:t>
      </w:r>
      <w:proofErr w:type="spellEnd"/>
      <w:r>
        <w:rPr>
          <w:rFonts w:ascii="Arial" w:hAnsi="Arial"/>
        </w:rPr>
        <w:t xml:space="preserve"> для равномерного распределения растений даже при прохождении поворотов и гомогенного созревания растений</w:t>
      </w:r>
    </w:p>
    <w:p w14:paraId="17EA5076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1AC1A8" w14:textId="77777777" w:rsidR="00186275" w:rsidRDefault="00186275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1FBA8E" w14:textId="4B248256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2A8F68E" wp14:editId="41BB2ABF">
            <wp:extent cx="3477600" cy="2880000"/>
            <wp:effectExtent l="0" t="0" r="2540" b="3175"/>
            <wp:docPr id="157419237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192370" name="Grafik 157419237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869DF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Новая прицепная сеялка точного высева </w:t>
      </w:r>
      <w:proofErr w:type="spellStart"/>
      <w:r>
        <w:rPr>
          <w:rFonts w:ascii="Arial" w:hAnsi="Arial"/>
        </w:rPr>
        <w:t>Precea</w:t>
      </w:r>
      <w:proofErr w:type="spellEnd"/>
      <w:r>
        <w:rPr>
          <w:rFonts w:ascii="Arial" w:hAnsi="Arial"/>
        </w:rPr>
        <w:t xml:space="preserve">-TCC задает высокие масштабы </w:t>
      </w:r>
      <w:proofErr w:type="spellStart"/>
      <w:r>
        <w:rPr>
          <w:rFonts w:ascii="Arial" w:hAnsi="Arial"/>
        </w:rPr>
        <w:t>прецизионности</w:t>
      </w:r>
      <w:proofErr w:type="spellEnd"/>
      <w:r>
        <w:rPr>
          <w:rFonts w:ascii="Arial" w:hAnsi="Arial"/>
        </w:rPr>
        <w:t>, действенности и интуитивного управления</w:t>
      </w:r>
    </w:p>
    <w:p w14:paraId="436BF837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C7C308A" w14:textId="77777777" w:rsidR="00D01F9A" w:rsidRDefault="00D01F9A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A19F54A" w14:textId="76D64E1C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67F80BC" wp14:editId="085F0E7B">
            <wp:extent cx="1440000" cy="1440000"/>
            <wp:effectExtent l="0" t="0" r="0" b="0"/>
            <wp:docPr id="1457409347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409347" name="Grafik 145740934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79C2D" w14:textId="7FC0C66B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Видео работы </w:t>
      </w:r>
      <w:proofErr w:type="spellStart"/>
      <w:r>
        <w:rPr>
          <w:rFonts w:ascii="Arial" w:hAnsi="Arial"/>
        </w:rPr>
        <w:t>Precea</w:t>
      </w:r>
      <w:proofErr w:type="spellEnd"/>
      <w:r>
        <w:rPr>
          <w:rFonts w:ascii="Arial" w:hAnsi="Arial"/>
        </w:rPr>
        <w:t xml:space="preserve">-TCC: </w:t>
      </w:r>
    </w:p>
    <w:p w14:paraId="1E0E2A91" w14:textId="57DB0264" w:rsidR="004C2759" w:rsidRDefault="004C2759" w:rsidP="00481457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www.amazone.de/yt-precea-tcc</w:t>
      </w:r>
    </w:p>
    <w:p w14:paraId="3519CBBE" w14:textId="77777777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626A9746" w14:textId="77777777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0D088BD1" w14:textId="0B2AC9CB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noProof/>
        </w:rPr>
        <w:lastRenderedPageBreak/>
        <w:drawing>
          <wp:inline distT="0" distB="0" distL="0" distR="0" wp14:anchorId="038C34DC" wp14:editId="15E835A7">
            <wp:extent cx="4053600" cy="2880000"/>
            <wp:effectExtent l="0" t="0" r="0" b="3175"/>
            <wp:docPr id="661281220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281220" name="Grafik 66128122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4B216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Подача посевного материала в отдельные ряды из центрального бункера регулируется через Central </w:t>
      </w:r>
      <w:proofErr w:type="spellStart"/>
      <w:r>
        <w:rPr>
          <w:rFonts w:ascii="Arial" w:hAnsi="Arial"/>
        </w:rPr>
        <w:t>Seed</w:t>
      </w:r>
      <w:proofErr w:type="spellEnd"/>
      <w:r>
        <w:rPr>
          <w:rFonts w:ascii="Arial" w:hAnsi="Arial"/>
        </w:rPr>
        <w:t xml:space="preserve"> Supply сама по себе</w:t>
      </w:r>
    </w:p>
    <w:p w14:paraId="402F6BFB" w14:textId="77777777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169592E" w14:textId="77777777" w:rsid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58609E" w14:textId="41864D2B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84B3313" wp14:editId="293FF6B5">
            <wp:extent cx="4060800" cy="2880000"/>
            <wp:effectExtent l="0" t="0" r="3810" b="3175"/>
            <wp:docPr id="1800221400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221400" name="Grafik 180022140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0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87EEC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Precea</w:t>
      </w:r>
      <w:proofErr w:type="spellEnd"/>
      <w:r>
        <w:rPr>
          <w:rFonts w:ascii="Arial" w:hAnsi="Arial"/>
        </w:rPr>
        <w:t xml:space="preserve">-TCC – высокая производительность с высочайшей </w:t>
      </w:r>
      <w:proofErr w:type="spellStart"/>
      <w:r>
        <w:rPr>
          <w:rFonts w:ascii="Arial" w:hAnsi="Arial"/>
        </w:rPr>
        <w:t>прецизионностью</w:t>
      </w:r>
      <w:proofErr w:type="spellEnd"/>
    </w:p>
    <w:p w14:paraId="43880798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179668B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8A0C2BA" w14:textId="600DB589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08FA3558" wp14:editId="4F988555">
            <wp:extent cx="6120000" cy="1886400"/>
            <wp:effectExtent l="0" t="0" r="1905" b="6350"/>
            <wp:docPr id="1880706916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706916" name="Grafik 188070691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6353A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Прицепная сеялка точного высева </w:t>
      </w:r>
      <w:proofErr w:type="spellStart"/>
      <w:r>
        <w:rPr>
          <w:rFonts w:ascii="Arial" w:hAnsi="Arial"/>
        </w:rPr>
        <w:t>Precea</w:t>
      </w:r>
      <w:proofErr w:type="spellEnd"/>
      <w:r>
        <w:rPr>
          <w:rFonts w:ascii="Arial" w:hAnsi="Arial"/>
        </w:rPr>
        <w:t xml:space="preserve">-TCC – новые масштабы </w:t>
      </w:r>
      <w:proofErr w:type="spellStart"/>
      <w:r>
        <w:rPr>
          <w:rFonts w:ascii="Arial" w:hAnsi="Arial"/>
        </w:rPr>
        <w:t>прецизионности</w:t>
      </w:r>
      <w:proofErr w:type="spellEnd"/>
      <w:r>
        <w:rPr>
          <w:rFonts w:ascii="Arial" w:hAnsi="Arial"/>
        </w:rPr>
        <w:t xml:space="preserve"> и действенности</w:t>
      </w:r>
    </w:p>
    <w:p w14:paraId="44E4B671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2A85FA1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8A3C095" w14:textId="329D91E8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1F33311" wp14:editId="6214B60A">
            <wp:extent cx="4053600" cy="2880000"/>
            <wp:effectExtent l="0" t="0" r="0" b="3175"/>
            <wp:docPr id="418500090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500090" name="Grafik 41850009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A8AD9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Автоматическая регулировка </w:t>
      </w:r>
      <w:proofErr w:type="spellStart"/>
      <w:r>
        <w:rPr>
          <w:rFonts w:ascii="Arial" w:hAnsi="Arial"/>
        </w:rPr>
        <w:t>отсекателей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SmartControl</w:t>
      </w:r>
      <w:proofErr w:type="spellEnd"/>
      <w:r>
        <w:rPr>
          <w:rFonts w:ascii="Arial" w:hAnsi="Arial"/>
        </w:rPr>
        <w:t xml:space="preserve"> осуществляет настройку </w:t>
      </w:r>
      <w:proofErr w:type="spellStart"/>
      <w:r>
        <w:rPr>
          <w:rFonts w:ascii="Arial" w:hAnsi="Arial"/>
        </w:rPr>
        <w:t>отсекателей</w:t>
      </w:r>
      <w:proofErr w:type="spellEnd"/>
      <w:r>
        <w:rPr>
          <w:rFonts w:ascii="Arial" w:hAnsi="Arial"/>
        </w:rPr>
        <w:t xml:space="preserve"> и существенно облегчает работу механизатора</w:t>
      </w:r>
    </w:p>
    <w:p w14:paraId="5EEC13A2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180EE1A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2A9231" w14:textId="11DBFE55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FB8CAA9" wp14:editId="379B7643">
            <wp:extent cx="4053600" cy="2880000"/>
            <wp:effectExtent l="0" t="0" r="0" b="3175"/>
            <wp:docPr id="1484793805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793805" name="Grafik 148479380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4F9AF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AMAZONE ISOBUS-регулировка моделей </w:t>
      </w:r>
      <w:proofErr w:type="spellStart"/>
      <w:r>
        <w:rPr>
          <w:rFonts w:ascii="Arial" w:hAnsi="Arial"/>
        </w:rPr>
        <w:t>Precea</w:t>
      </w:r>
      <w:proofErr w:type="spellEnd"/>
      <w:r>
        <w:rPr>
          <w:rFonts w:ascii="Arial" w:hAnsi="Arial"/>
        </w:rPr>
        <w:t>. Быстрый обзор всех важных параметров!</w:t>
      </w:r>
    </w:p>
    <w:p w14:paraId="787E0634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639E5D6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F1C117C" w14:textId="0C12CEDF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4896FD07" wp14:editId="28C20DE3">
            <wp:extent cx="6112800" cy="2880000"/>
            <wp:effectExtent l="0" t="0" r="0" b="3175"/>
            <wp:docPr id="1456419427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419427" name="Grafik 1456419427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2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FCFE6" w14:textId="77777777" w:rsidR="00481457" w:rsidRPr="00481457" w:rsidRDefault="00481457" w:rsidP="0048145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Равномерные всходы за счет телескопической оси, при которой шины проходят между посевными рядами</w:t>
      </w:r>
    </w:p>
    <w:p w14:paraId="2540D4FD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FF8D3BC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DDEE890" w14:textId="167D464A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5EFE4DDD" wp14:editId="1480B590">
            <wp:extent cx="4053600" cy="2880000"/>
            <wp:effectExtent l="0" t="0" r="0" b="3175"/>
            <wp:docPr id="148064032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640329" name="Grafik 1480640329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89FB5" w14:textId="77777777" w:rsidR="00425F72" w:rsidRPr="00425F72" w:rsidRDefault="00425F72" w:rsidP="00425F7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Удобный доступ к бункеру обеспечивает быстрое и простое заполнение</w:t>
      </w:r>
    </w:p>
    <w:p w14:paraId="4D8C8735" w14:textId="77777777" w:rsidR="00481457" w:rsidRDefault="00481457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06FB9B0" w14:textId="77777777" w:rsidR="00425F72" w:rsidRDefault="00425F72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136FCEF" w14:textId="77777777" w:rsidR="00186275" w:rsidRPr="00F4316E" w:rsidRDefault="00186275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7F8944CC" w14:textId="4942AF2D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 с головным офисом в 49205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Хасберген-Гасте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2000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8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6F367FFB">
            <wp:extent cx="241300" cy="241300"/>
            <wp:effectExtent l="0" t="0" r="6350" b="6350"/>
            <wp:docPr id="13" name="Grafik 13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884F1A2">
            <wp:extent cx="241300" cy="241300"/>
            <wp:effectExtent l="0" t="0" r="6350" b="6350"/>
            <wp:docPr id="12" name="Grafik 12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59CF8096">
            <wp:extent cx="241300" cy="241300"/>
            <wp:effectExtent l="0" t="0" r="6350" b="6350"/>
            <wp:docPr id="11" name="Grafik 11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43060A8C">
            <wp:extent cx="241300" cy="241300"/>
            <wp:effectExtent l="0" t="0" r="6350" b="6350"/>
            <wp:docPr id="10" name="Grafik 10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918AF32">
            <wp:extent cx="241300" cy="241300"/>
            <wp:effectExtent l="0" t="0" r="6350" b="6350"/>
            <wp:docPr id="7" name="Grafik 7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6B51EA" w14:textId="77777777" w:rsidR="00564CC3" w:rsidRDefault="00564CC3">
      <w:r>
        <w:separator/>
      </w:r>
    </w:p>
  </w:endnote>
  <w:endnote w:type="continuationSeparator" w:id="0">
    <w:p w14:paraId="69138081" w14:textId="77777777" w:rsidR="00564CC3" w:rsidRDefault="00564C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Страница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из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Телефон +49 (0)5405 </w:t>
                          </w:r>
                          <w:proofErr w:type="gramStart"/>
                          <w:r>
                            <w:rPr>
                              <w:rFonts w:ascii="Arial" w:hAnsi="Arial"/>
                              <w:sz w:val="20"/>
                            </w:rPr>
                            <w:t>501-0</w:t>
                          </w:r>
                          <w:proofErr w:type="gram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amazone@amazone.de ∙ www.amazone.ru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Телефон +49 (0)5405 501-0 ∙ amazone@amazone.de ∙ www.amazone.ru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B3F6F8" w14:textId="77777777" w:rsidR="00564CC3" w:rsidRDefault="00564CC3">
      <w:r>
        <w:separator/>
      </w:r>
    </w:p>
  </w:footnote>
  <w:footnote w:type="continuationSeparator" w:id="0">
    <w:p w14:paraId="3316E6BD" w14:textId="77777777" w:rsidR="00564CC3" w:rsidRDefault="00564CC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for</w:t>
                          </w:r>
                          <w:proofErr w:type="spellEnd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F55B2D"/>
    <w:multiLevelType w:val="hybridMultilevel"/>
    <w:tmpl w:val="A19EBD1A"/>
    <w:lvl w:ilvl="0" w:tplc="2D06C5E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43730AB"/>
    <w:multiLevelType w:val="hybridMultilevel"/>
    <w:tmpl w:val="BAE2E87A"/>
    <w:lvl w:ilvl="0" w:tplc="9DA2CDD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7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2EAE10C9"/>
    <w:multiLevelType w:val="hybridMultilevel"/>
    <w:tmpl w:val="6498A09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365B7AE3"/>
    <w:multiLevelType w:val="hybridMultilevel"/>
    <w:tmpl w:val="484CEF2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49D64FCA"/>
    <w:multiLevelType w:val="hybridMultilevel"/>
    <w:tmpl w:val="68BEA43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4C1C22BA"/>
    <w:multiLevelType w:val="hybridMultilevel"/>
    <w:tmpl w:val="44BADFE4"/>
    <w:lvl w:ilvl="0" w:tplc="BCAC8E6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4C85467F"/>
    <w:multiLevelType w:val="hybridMultilevel"/>
    <w:tmpl w:val="82600F5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8" w15:restartNumberingAfterBreak="0">
    <w:nsid w:val="60EB6C75"/>
    <w:multiLevelType w:val="hybridMultilevel"/>
    <w:tmpl w:val="208AB21E"/>
    <w:lvl w:ilvl="0" w:tplc="21E6B556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9" w15:restartNumberingAfterBreak="0">
    <w:nsid w:val="69896D9E"/>
    <w:multiLevelType w:val="hybridMultilevel"/>
    <w:tmpl w:val="28A4759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7C65124A"/>
    <w:multiLevelType w:val="hybridMultilevel"/>
    <w:tmpl w:val="3A56543C"/>
    <w:lvl w:ilvl="0" w:tplc="6338FA3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1" w15:restartNumberingAfterBreak="0">
    <w:nsid w:val="7DB562CC"/>
    <w:multiLevelType w:val="hybridMultilevel"/>
    <w:tmpl w:val="F49CBA3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10"/>
  </w:num>
  <w:num w:numId="2" w16cid:durableId="1510219160">
    <w:abstractNumId w:val="0"/>
  </w:num>
  <w:num w:numId="3" w16cid:durableId="613364659">
    <w:abstractNumId w:val="6"/>
  </w:num>
  <w:num w:numId="4" w16cid:durableId="1043675452">
    <w:abstractNumId w:val="7"/>
  </w:num>
  <w:num w:numId="5" w16cid:durableId="2011105495">
    <w:abstractNumId w:val="4"/>
  </w:num>
  <w:num w:numId="6" w16cid:durableId="240917465">
    <w:abstractNumId w:val="1"/>
  </w:num>
  <w:num w:numId="7" w16cid:durableId="750658751">
    <w:abstractNumId w:val="17"/>
  </w:num>
  <w:num w:numId="8" w16cid:durableId="294531490">
    <w:abstractNumId w:val="16"/>
  </w:num>
  <w:num w:numId="9" w16cid:durableId="2071071478">
    <w:abstractNumId w:val="5"/>
  </w:num>
  <w:num w:numId="10" w16cid:durableId="136532471">
    <w:abstractNumId w:val="11"/>
  </w:num>
  <w:num w:numId="11" w16cid:durableId="2055814173">
    <w:abstractNumId w:val="13"/>
  </w:num>
  <w:num w:numId="12" w16cid:durableId="980188096">
    <w:abstractNumId w:val="15"/>
  </w:num>
  <w:num w:numId="13" w16cid:durableId="541139897">
    <w:abstractNumId w:val="20"/>
  </w:num>
  <w:num w:numId="14" w16cid:durableId="870340174">
    <w:abstractNumId w:val="9"/>
  </w:num>
  <w:num w:numId="15" w16cid:durableId="1051733553">
    <w:abstractNumId w:val="3"/>
  </w:num>
  <w:num w:numId="16" w16cid:durableId="2091533952">
    <w:abstractNumId w:val="19"/>
  </w:num>
  <w:num w:numId="17" w16cid:durableId="390271143">
    <w:abstractNumId w:val="18"/>
  </w:num>
  <w:num w:numId="18" w16cid:durableId="799540887">
    <w:abstractNumId w:val="21"/>
  </w:num>
  <w:num w:numId="19" w16cid:durableId="787774090">
    <w:abstractNumId w:val="14"/>
  </w:num>
  <w:num w:numId="20" w16cid:durableId="1753430458">
    <w:abstractNumId w:val="12"/>
  </w:num>
  <w:num w:numId="21" w16cid:durableId="895438009">
    <w:abstractNumId w:val="2"/>
  </w:num>
  <w:num w:numId="22" w16cid:durableId="185414785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678F3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6275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2236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28DF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25F72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1457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2759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4CC3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258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3EBE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15F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5E66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243B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17DCA"/>
    <w:rsid w:val="00920552"/>
    <w:rsid w:val="00920AE8"/>
    <w:rsid w:val="0092470E"/>
    <w:rsid w:val="00924B9D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4BAC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3BD7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2DA8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4E93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1F9A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57895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4D5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944BA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://www.amazone.ru" TargetMode="External"/><Relationship Id="rId26" Type="http://schemas.openxmlformats.org/officeDocument/2006/relationships/image" Target="media/image13.jpeg"/><Relationship Id="rId39" Type="http://schemas.openxmlformats.org/officeDocument/2006/relationships/footer" Target="footer3.xml"/><Relationship Id="rId21" Type="http://schemas.openxmlformats.org/officeDocument/2006/relationships/image" Target="cid:FB_70d43fd1-a841-4de4-bbaa-3e1f495f95d3.jpg" TargetMode="External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1.jpeg"/><Relationship Id="rId29" Type="http://schemas.openxmlformats.org/officeDocument/2006/relationships/image" Target="media/image14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IG_efb650a7-31e4-4674-98db-f2d2d5c58dce.jpg" TargetMode="External"/><Relationship Id="rId32" Type="http://schemas.openxmlformats.org/officeDocument/2006/relationships/image" Target="media/image15.jpeg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2.jpeg"/><Relationship Id="rId28" Type="http://schemas.openxmlformats.org/officeDocument/2006/relationships/hyperlink" Target="https://www.linkedin.com/company/amazone-group/" TargetMode="External"/><Relationship Id="rId36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hyperlink" Target="https://www.facebook.com/amazone.group" TargetMode="External"/><Relationship Id="rId31" Type="http://schemas.openxmlformats.org/officeDocument/2006/relationships/hyperlink" Target="https://www.xing.com/company/amazon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instagram.com/amazone_group" TargetMode="External"/><Relationship Id="rId27" Type="http://schemas.openxmlformats.org/officeDocument/2006/relationships/image" Target="cid:YT_e9180d16-5a2b-4618-92e9-22a015f9cafb.jpg" TargetMode="External"/><Relationship Id="rId30" Type="http://schemas.openxmlformats.org/officeDocument/2006/relationships/image" Target="cid:LinkedIn_80de4e9c-c7a3-41e3-8e11-063f7eace13d.jpg" TargetMode="External"/><Relationship Id="rId35" Type="http://schemas.openxmlformats.org/officeDocument/2006/relationships/header" Target="header2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s://www.youtube.com/user/amazonede" TargetMode="External"/><Relationship Id="rId33" Type="http://schemas.openxmlformats.org/officeDocument/2006/relationships/image" Target="cid:Xing1_e3730686-2953-47a9-9c47-dbaa518a9207.jpg" TargetMode="External"/><Relationship Id="rId38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1121</Words>
  <Characters>7066</Characters>
  <Application>Microsoft Office Word</Application>
  <DocSecurity>0</DocSecurity>
  <Lines>58</Lines>
  <Paragraphs>16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8171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2023-09-08T08:17:00Z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