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27FB5CE8" w:rsidR="00780B70" w:rsidRPr="00780B70" w:rsidRDefault="00780B70" w:rsidP="00780B70">
      <w:pPr>
        <w:spacing w:after="120" w:line="360" w:lineRule="auto"/>
        <w:ind w:left="567" w:right="1695"/>
        <w:rPr>
          <w:rFonts w:ascii="Arial" w:hAnsi="Arial" w:cs="Arial"/>
          <w:b/>
          <w:bCs/>
          <w:sz w:val="28"/>
          <w:szCs w:val="28"/>
        </w:rPr>
      </w:pPr>
      <w:r w:rsidRPr="00780B70">
        <w:rPr>
          <w:rFonts w:ascii="Arial" w:hAnsi="Arial" w:cs="Arial"/>
          <w:b/>
          <w:bCs/>
          <w:sz w:val="28"/>
          <w:szCs w:val="28"/>
        </w:rPr>
        <w:t xml:space="preserve">ZG-TX – </w:t>
      </w:r>
      <w:proofErr w:type="spellStart"/>
      <w:r w:rsidRPr="00780B70">
        <w:rPr>
          <w:rFonts w:ascii="Arial" w:hAnsi="Arial" w:cs="Arial"/>
          <w:b/>
          <w:bCs/>
          <w:sz w:val="28"/>
          <w:szCs w:val="28"/>
        </w:rPr>
        <w:t>Kombistreuer</w:t>
      </w:r>
      <w:proofErr w:type="spellEnd"/>
      <w:r w:rsidRPr="00780B70">
        <w:rPr>
          <w:rFonts w:ascii="Arial" w:hAnsi="Arial" w:cs="Arial"/>
          <w:b/>
          <w:bCs/>
          <w:sz w:val="28"/>
          <w:szCs w:val="28"/>
        </w:rPr>
        <w:t xml:space="preserve"> ohne Kompromisse</w:t>
      </w:r>
    </w:p>
    <w:p w14:paraId="1FF2836C" w14:textId="77777777" w:rsidR="00780B70" w:rsidRPr="00780B70" w:rsidRDefault="00780B70" w:rsidP="00780B70">
      <w:pPr>
        <w:spacing w:line="360" w:lineRule="auto"/>
        <w:ind w:left="567" w:right="1695"/>
        <w:rPr>
          <w:rFonts w:ascii="Arial" w:hAnsi="Arial" w:cs="Arial"/>
          <w:b/>
          <w:bCs/>
        </w:rPr>
      </w:pPr>
      <w:r w:rsidRPr="00780B70">
        <w:rPr>
          <w:rFonts w:ascii="Arial" w:hAnsi="Arial" w:cs="Arial"/>
          <w:b/>
          <w:bCs/>
        </w:rPr>
        <w:t>Flexibel – Präzise – Leistungsstark</w:t>
      </w:r>
    </w:p>
    <w:p w14:paraId="65EA582A" w14:textId="77777777" w:rsidR="00161FDD" w:rsidRDefault="00161FDD" w:rsidP="00161FDD">
      <w:pPr>
        <w:spacing w:line="360" w:lineRule="auto"/>
        <w:ind w:left="567" w:right="1695"/>
        <w:rPr>
          <w:rFonts w:ascii="Arial" w:hAnsi="Arial" w:cs="Arial"/>
        </w:rPr>
      </w:pPr>
    </w:p>
    <w:p w14:paraId="05E604BA" w14:textId="77777777" w:rsid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Mit dem neuen angehängten ZG-TX setzt AMAZONE neue Maßstäbe im Segment der </w:t>
      </w:r>
      <w:proofErr w:type="spellStart"/>
      <w:r w:rsidRPr="00780B70">
        <w:rPr>
          <w:rFonts w:ascii="Arial" w:eastAsia="Arial" w:hAnsi="Arial" w:cs="Arial"/>
        </w:rPr>
        <w:t>Kombistreuer</w:t>
      </w:r>
      <w:proofErr w:type="spellEnd"/>
      <w:r w:rsidRPr="00780B70">
        <w:rPr>
          <w:rFonts w:ascii="Arial" w:eastAsia="Arial" w:hAnsi="Arial" w:cs="Arial"/>
        </w:rPr>
        <w:t xml:space="preserve">. Durch einen einfachen Umbau zwischen dem TS-Streuwerk und dem neu entwickelten Streuwerk für Kalk können mit einer Maschine sowohl Mineraldünger als auch erdfeuchte Kalke präzise ausgebracht werden. Der ZG-TX vereint somit die Vorteile des TS-Streuwerks samt scheibenintegriertem </w:t>
      </w:r>
      <w:proofErr w:type="spellStart"/>
      <w:r w:rsidRPr="00780B70">
        <w:rPr>
          <w:rFonts w:ascii="Arial" w:eastAsia="Arial" w:hAnsi="Arial" w:cs="Arial"/>
        </w:rPr>
        <w:t>AutoTS</w:t>
      </w:r>
      <w:proofErr w:type="spellEnd"/>
      <w:r w:rsidRPr="00780B70">
        <w:rPr>
          <w:rFonts w:ascii="Arial" w:eastAsia="Arial" w:hAnsi="Arial" w:cs="Arial"/>
        </w:rPr>
        <w:t xml:space="preserve"> für beste Grenzstreuergebnisse mit höchster Schlagkraft im Kalkeinsatz. Mit dem einfachen Special-Rahmen und dem verstärkten Super-Rahmen bietet AMAZONE für jeden die richtige Maschine.</w:t>
      </w:r>
    </w:p>
    <w:p w14:paraId="74BCA08B" w14:textId="77777777" w:rsidR="00780B70" w:rsidRPr="00780B70" w:rsidRDefault="00780B70" w:rsidP="00780B70">
      <w:pPr>
        <w:spacing w:after="120" w:line="360" w:lineRule="auto"/>
        <w:ind w:left="567" w:right="1695"/>
        <w:rPr>
          <w:rFonts w:ascii="Arial" w:eastAsia="Arial" w:hAnsi="Arial" w:cs="Arial"/>
        </w:rPr>
      </w:pPr>
    </w:p>
    <w:p w14:paraId="6F55F012" w14:textId="310C14EA" w:rsidR="00780B70" w:rsidRPr="00780B70" w:rsidRDefault="00780B70" w:rsidP="00780B70">
      <w:pPr>
        <w:spacing w:after="120" w:line="360" w:lineRule="auto"/>
        <w:ind w:left="567" w:right="1695"/>
        <w:rPr>
          <w:rFonts w:ascii="Arial" w:eastAsia="Arial" w:hAnsi="Arial" w:cs="Arial"/>
          <w:b/>
          <w:bCs/>
        </w:rPr>
      </w:pPr>
      <w:r w:rsidRPr="00780B70">
        <w:rPr>
          <w:rFonts w:ascii="Arial" w:eastAsia="Arial" w:hAnsi="Arial" w:cs="Arial"/>
          <w:b/>
          <w:bCs/>
        </w:rPr>
        <w:t xml:space="preserve">Der </w:t>
      </w:r>
      <w:proofErr w:type="spellStart"/>
      <w:r w:rsidRPr="00780B70">
        <w:rPr>
          <w:rFonts w:ascii="Arial" w:eastAsia="Arial" w:hAnsi="Arial" w:cs="Arial"/>
          <w:b/>
          <w:bCs/>
        </w:rPr>
        <w:t>Präzisionsstreuer</w:t>
      </w:r>
      <w:proofErr w:type="spellEnd"/>
      <w:r w:rsidRPr="00780B70">
        <w:rPr>
          <w:rFonts w:ascii="Arial" w:eastAsia="Arial" w:hAnsi="Arial" w:cs="Arial"/>
          <w:b/>
          <w:bCs/>
        </w:rPr>
        <w:t xml:space="preserve"> in seiner Klasse –</w:t>
      </w:r>
      <w:r>
        <w:rPr>
          <w:rFonts w:ascii="Arial" w:eastAsia="Arial" w:hAnsi="Arial" w:cs="Arial"/>
          <w:b/>
          <w:bCs/>
        </w:rPr>
        <w:t xml:space="preserve"> </w:t>
      </w:r>
      <w:r w:rsidRPr="00780B70">
        <w:rPr>
          <w:rFonts w:ascii="Arial" w:eastAsia="Arial" w:hAnsi="Arial" w:cs="Arial"/>
          <w:b/>
          <w:bCs/>
        </w:rPr>
        <w:t>Exaktes Düngen im Fokus</w:t>
      </w:r>
    </w:p>
    <w:p w14:paraId="4EE7C631"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Bisher beschreibt der Begriff </w:t>
      </w:r>
      <w:proofErr w:type="spellStart"/>
      <w:r w:rsidRPr="00780B70">
        <w:rPr>
          <w:rFonts w:ascii="Arial" w:eastAsia="Arial" w:hAnsi="Arial" w:cs="Arial"/>
        </w:rPr>
        <w:t>Kombistreuer</w:t>
      </w:r>
      <w:proofErr w:type="spellEnd"/>
      <w:r w:rsidRPr="00780B70">
        <w:rPr>
          <w:rFonts w:ascii="Arial" w:eastAsia="Arial" w:hAnsi="Arial" w:cs="Arial"/>
        </w:rPr>
        <w:t xml:space="preserve"> Maschinen, die mit einem Bandboden entweder Mineraldünger oder Kalk auf 2 Streuscheiben dosieren. Doch auch im Kundensegment der </w:t>
      </w:r>
      <w:proofErr w:type="spellStart"/>
      <w:r w:rsidRPr="00780B70">
        <w:rPr>
          <w:rFonts w:ascii="Arial" w:eastAsia="Arial" w:hAnsi="Arial" w:cs="Arial"/>
        </w:rPr>
        <w:t>Kombistreuer</w:t>
      </w:r>
      <w:proofErr w:type="spellEnd"/>
      <w:r w:rsidRPr="00780B70">
        <w:rPr>
          <w:rFonts w:ascii="Arial" w:eastAsia="Arial" w:hAnsi="Arial" w:cs="Arial"/>
        </w:rPr>
        <w:t xml:space="preserve"> steigt der Anspruch nach höchster Präzision. Vor diesem Hintergrund entschied sich AMAZONE neue Wege im Bereich der Düngerdosierung zu gehen und mit der Präzision des TS-Streuwerks zu kombinieren. Das Ergebnis ist in vielerlei Hinsicht neu.</w:t>
      </w:r>
    </w:p>
    <w:p w14:paraId="2CAB361F" w14:textId="77777777" w:rsidR="00780B70" w:rsidRPr="00780B70" w:rsidRDefault="00780B70" w:rsidP="00780B70">
      <w:pPr>
        <w:spacing w:after="120" w:line="360" w:lineRule="auto"/>
        <w:ind w:left="567" w:right="1695"/>
        <w:rPr>
          <w:rFonts w:ascii="Arial" w:eastAsia="Arial" w:hAnsi="Arial" w:cs="Arial"/>
        </w:rPr>
      </w:pPr>
    </w:p>
    <w:p w14:paraId="3F480174"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Anstelle einer einfachen </w:t>
      </w:r>
      <w:proofErr w:type="gramStart"/>
      <w:r w:rsidRPr="00780B70">
        <w:rPr>
          <w:rFonts w:ascii="Arial" w:eastAsia="Arial" w:hAnsi="Arial" w:cs="Arial"/>
        </w:rPr>
        <w:t>Rutsche</w:t>
      </w:r>
      <w:proofErr w:type="gramEnd"/>
      <w:r w:rsidRPr="00780B70">
        <w:rPr>
          <w:rFonts w:ascii="Arial" w:eastAsia="Arial" w:hAnsi="Arial" w:cs="Arial"/>
        </w:rPr>
        <w:t xml:space="preserve"> über die der Dünger auf die Scheibe dosiert wird, ist am ZG-TX eine definierte Aufgabepunktverstellung verbaut. Das wiederum ermöglicht präzisionsoptimierte Features wie </w:t>
      </w:r>
      <w:proofErr w:type="spellStart"/>
      <w:r w:rsidRPr="00780B70">
        <w:rPr>
          <w:rFonts w:ascii="Arial" w:eastAsia="Arial" w:hAnsi="Arial" w:cs="Arial"/>
        </w:rPr>
        <w:t>HeadlandControl</w:t>
      </w:r>
      <w:proofErr w:type="spellEnd"/>
      <w:r w:rsidRPr="00780B70">
        <w:rPr>
          <w:rFonts w:ascii="Arial" w:eastAsia="Arial" w:hAnsi="Arial" w:cs="Arial"/>
        </w:rPr>
        <w:t xml:space="preserve"> und </w:t>
      </w:r>
      <w:proofErr w:type="spellStart"/>
      <w:r w:rsidRPr="00780B70">
        <w:rPr>
          <w:rFonts w:ascii="Arial" w:eastAsia="Arial" w:hAnsi="Arial" w:cs="Arial"/>
        </w:rPr>
        <w:t>Section</w:t>
      </w:r>
      <w:proofErr w:type="spellEnd"/>
      <w:r w:rsidRPr="00780B70">
        <w:rPr>
          <w:rFonts w:ascii="Arial" w:eastAsia="Arial" w:hAnsi="Arial" w:cs="Arial"/>
        </w:rPr>
        <w:t xml:space="preserve"> Control. Hierdurch stellt das von den TS-Streuern bekannte Streuwerk präzise Streubilder bis zu einer Arbeitsbreite von 54 m sicher. In Kombination mit der auf Wunsch verfügbaren Drehmomentmessung </w:t>
      </w:r>
      <w:proofErr w:type="spellStart"/>
      <w:r w:rsidRPr="00780B70">
        <w:rPr>
          <w:rFonts w:ascii="Arial" w:eastAsia="Arial" w:hAnsi="Arial" w:cs="Arial"/>
        </w:rPr>
        <w:t>FlowControl</w:t>
      </w:r>
      <w:proofErr w:type="spellEnd"/>
      <w:r w:rsidRPr="00780B70">
        <w:rPr>
          <w:rFonts w:ascii="Arial" w:eastAsia="Arial" w:hAnsi="Arial" w:cs="Arial"/>
        </w:rPr>
        <w:t xml:space="preserve"> wird eine exakte Mengenregelung ab der ersten Sekunde garantiert. Dabei wird der Dünger durch das intelligente Zusammenspiel von elektrischem Doppelschieber und Bandbodengeschwindigkeit präzise dosiert. Dies ist beim Einsatz von Applikationskarten auch seitenunabhängig möglich. </w:t>
      </w:r>
    </w:p>
    <w:p w14:paraId="486C8FD7" w14:textId="77777777" w:rsidR="00780B70" w:rsidRPr="00780B70" w:rsidRDefault="00780B70" w:rsidP="00780B70">
      <w:pPr>
        <w:spacing w:after="120" w:line="360" w:lineRule="auto"/>
        <w:ind w:left="567" w:right="1695"/>
        <w:rPr>
          <w:rFonts w:ascii="Arial" w:eastAsia="Arial" w:hAnsi="Arial" w:cs="Arial"/>
          <w:b/>
          <w:bCs/>
        </w:rPr>
      </w:pPr>
      <w:r w:rsidRPr="00780B70">
        <w:rPr>
          <w:rFonts w:ascii="Arial" w:eastAsia="Arial" w:hAnsi="Arial" w:cs="Arial"/>
          <w:b/>
          <w:bCs/>
        </w:rPr>
        <w:lastRenderedPageBreak/>
        <w:t>Perfektes Grenzstreuen</w:t>
      </w:r>
    </w:p>
    <w:p w14:paraId="07D6F6A3"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Auch in punkto Grenzstreuen setzt der ZG-TX neue Maßstäbe. Zusammen mit dem TS-Streuwerk ist ab Werk rechtsseitig das scheibenintegrierte Grenzstreusystem </w:t>
      </w:r>
      <w:proofErr w:type="spellStart"/>
      <w:r w:rsidRPr="00780B70">
        <w:rPr>
          <w:rFonts w:ascii="Arial" w:eastAsia="Arial" w:hAnsi="Arial" w:cs="Arial"/>
        </w:rPr>
        <w:t>AutoTS</w:t>
      </w:r>
      <w:proofErr w:type="spellEnd"/>
      <w:r w:rsidRPr="00780B70">
        <w:rPr>
          <w:rFonts w:ascii="Arial" w:eastAsia="Arial" w:hAnsi="Arial" w:cs="Arial"/>
        </w:rPr>
        <w:t xml:space="preserve"> montiert. Dies garantiert auch bei großen Arbeitsbreiten beste Grenzstreuergebnisse bis zum Feldrand. War das System bislang den </w:t>
      </w:r>
      <w:proofErr w:type="spellStart"/>
      <w:r w:rsidRPr="00780B70">
        <w:rPr>
          <w:rFonts w:ascii="Arial" w:eastAsia="Arial" w:hAnsi="Arial" w:cs="Arial"/>
        </w:rPr>
        <w:t>Präzisionsstreuern</w:t>
      </w:r>
      <w:proofErr w:type="spellEnd"/>
      <w:r w:rsidRPr="00780B70">
        <w:rPr>
          <w:rFonts w:ascii="Arial" w:eastAsia="Arial" w:hAnsi="Arial" w:cs="Arial"/>
        </w:rPr>
        <w:t xml:space="preserve"> ZA-TS und ZG-TS vorbehalten, wird es nun ebenfalls beim ZG-TX eingesetzt. Damit sind bis zu 17 % Mehrertrag im Vergleich zu herkömmlichen Grenzstreusystemen möglich. Der Einsatz eines solchen Grenzstreusystems im Bereich der </w:t>
      </w:r>
      <w:proofErr w:type="spellStart"/>
      <w:r w:rsidRPr="00780B70">
        <w:rPr>
          <w:rFonts w:ascii="Arial" w:eastAsia="Arial" w:hAnsi="Arial" w:cs="Arial"/>
        </w:rPr>
        <w:t>Kombistreuer</w:t>
      </w:r>
      <w:proofErr w:type="spellEnd"/>
      <w:r w:rsidRPr="00780B70">
        <w:rPr>
          <w:rFonts w:ascii="Arial" w:eastAsia="Arial" w:hAnsi="Arial" w:cs="Arial"/>
        </w:rPr>
        <w:t xml:space="preserve"> ist einzigartig. </w:t>
      </w:r>
    </w:p>
    <w:p w14:paraId="5CC08249" w14:textId="77777777" w:rsidR="00780B70" w:rsidRPr="00780B70" w:rsidRDefault="00780B70" w:rsidP="00780B70">
      <w:pPr>
        <w:spacing w:after="120" w:line="360" w:lineRule="auto"/>
        <w:ind w:left="567" w:right="1695"/>
        <w:rPr>
          <w:rFonts w:ascii="Arial" w:eastAsia="Arial" w:hAnsi="Arial" w:cs="Arial"/>
        </w:rPr>
      </w:pPr>
    </w:p>
    <w:p w14:paraId="605317C3" w14:textId="77777777" w:rsidR="00780B70" w:rsidRPr="00780B70" w:rsidRDefault="00780B70" w:rsidP="00780B70">
      <w:pPr>
        <w:spacing w:after="120" w:line="360" w:lineRule="auto"/>
        <w:ind w:left="567" w:right="1695"/>
        <w:rPr>
          <w:rFonts w:ascii="Arial" w:eastAsia="Arial" w:hAnsi="Arial" w:cs="Arial"/>
          <w:b/>
          <w:bCs/>
        </w:rPr>
      </w:pPr>
      <w:r w:rsidRPr="00780B70">
        <w:rPr>
          <w:rFonts w:ascii="Arial" w:eastAsia="Arial" w:hAnsi="Arial" w:cs="Arial"/>
          <w:b/>
          <w:bCs/>
        </w:rPr>
        <w:t>Doppelnutzen – Kalk und Dünger optimal verteilt</w:t>
      </w:r>
    </w:p>
    <w:p w14:paraId="6EC38D99" w14:textId="77777777" w:rsid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Die Besonderheit beim ZG-TX ist der einfache Umbau zwischen Kalk- und Mineraldüngung. Hierzu werden lediglich einzelne Bauteile getauscht. Dazu zählen die Streuscheiben, der Spritzschutz sowie das Einleitsystem. Dank der cleveren Software erkennt das Terminal, dass der Streuer umgebaut wurde. So kann der </w:t>
      </w:r>
      <w:proofErr w:type="spellStart"/>
      <w:r w:rsidRPr="00780B70">
        <w:rPr>
          <w:rFonts w:ascii="Arial" w:eastAsia="Arial" w:hAnsi="Arial" w:cs="Arial"/>
        </w:rPr>
        <w:t>Kombistreuer</w:t>
      </w:r>
      <w:proofErr w:type="spellEnd"/>
      <w:r w:rsidRPr="00780B70">
        <w:rPr>
          <w:rFonts w:ascii="Arial" w:eastAsia="Arial" w:hAnsi="Arial" w:cs="Arial"/>
        </w:rPr>
        <w:t xml:space="preserve"> in etwa 25 Minuten vollständig umgebaut und anschließend jeweils sofort Kalk oder Dünger gestreut werden. </w:t>
      </w:r>
    </w:p>
    <w:p w14:paraId="62E088FB" w14:textId="77777777" w:rsidR="00780B70" w:rsidRPr="00780B70" w:rsidRDefault="00780B70" w:rsidP="00780B70">
      <w:pPr>
        <w:spacing w:after="120" w:line="360" w:lineRule="auto"/>
        <w:ind w:left="567" w:right="1695"/>
        <w:rPr>
          <w:rFonts w:ascii="Arial" w:eastAsia="Arial" w:hAnsi="Arial" w:cs="Arial"/>
        </w:rPr>
      </w:pPr>
    </w:p>
    <w:p w14:paraId="5F1C06CA" w14:textId="5AF3E504" w:rsidR="00780B70" w:rsidRPr="00780B70" w:rsidRDefault="00780B70" w:rsidP="00780B70">
      <w:pPr>
        <w:spacing w:after="120" w:line="360" w:lineRule="auto"/>
        <w:ind w:left="567" w:right="1695"/>
        <w:rPr>
          <w:rFonts w:ascii="Arial" w:eastAsia="Arial" w:hAnsi="Arial" w:cs="Arial"/>
          <w:b/>
          <w:bCs/>
        </w:rPr>
      </w:pPr>
      <w:r w:rsidRPr="00780B70">
        <w:rPr>
          <w:rFonts w:ascii="Arial" w:eastAsia="Arial" w:hAnsi="Arial" w:cs="Arial"/>
          <w:b/>
          <w:bCs/>
        </w:rPr>
        <w:t xml:space="preserve">Schlagkräftiger </w:t>
      </w:r>
      <w:proofErr w:type="spellStart"/>
      <w:r w:rsidRPr="00780B70">
        <w:rPr>
          <w:rFonts w:ascii="Arial" w:eastAsia="Arial" w:hAnsi="Arial" w:cs="Arial"/>
          <w:b/>
          <w:bCs/>
        </w:rPr>
        <w:t>Kalkstreuer</w:t>
      </w:r>
      <w:proofErr w:type="spellEnd"/>
      <w:r w:rsidRPr="00780B70">
        <w:rPr>
          <w:rFonts w:ascii="Arial" w:eastAsia="Arial" w:hAnsi="Arial" w:cs="Arial"/>
          <w:b/>
          <w:bCs/>
        </w:rPr>
        <w:t xml:space="preserve"> mit innovativen Eigenschaften –</w:t>
      </w:r>
      <w:r>
        <w:rPr>
          <w:rFonts w:ascii="Arial" w:eastAsia="Arial" w:hAnsi="Arial" w:cs="Arial"/>
          <w:b/>
          <w:bCs/>
        </w:rPr>
        <w:t xml:space="preserve"> </w:t>
      </w:r>
      <w:r w:rsidRPr="00780B70">
        <w:rPr>
          <w:rFonts w:ascii="Arial" w:eastAsia="Arial" w:hAnsi="Arial" w:cs="Arial"/>
          <w:b/>
          <w:bCs/>
        </w:rPr>
        <w:t>Keine Abstriche im robusten Feldeinsatz</w:t>
      </w:r>
    </w:p>
    <w:p w14:paraId="513D55EA" w14:textId="288C1FE9"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Insbesondere die robuste Konstruktion des ZG-TX Super ermöglicht eine maximale Zuladung auf einer Achse. Dafür sorgt die Achslast von 15 t in Verbindung mit einer Stützlast von </w:t>
      </w:r>
      <w:r w:rsidR="00030C42">
        <w:rPr>
          <w:rFonts w:ascii="Arial" w:eastAsia="Arial" w:hAnsi="Arial" w:cs="Arial"/>
        </w:rPr>
        <w:t>6</w:t>
      </w:r>
      <w:r w:rsidRPr="00780B70">
        <w:rPr>
          <w:rFonts w:ascii="Arial" w:eastAsia="Arial" w:hAnsi="Arial" w:cs="Arial"/>
        </w:rPr>
        <w:t xml:space="preserve"> t. Die steilen Behälterwände stellen ein Nachrutschen auch erdfeuchter Kalke sicher, eine auf Wunsch verfügbare Kettenharke garantiert im Folgenden den gleichmäßigen </w:t>
      </w:r>
      <w:proofErr w:type="spellStart"/>
      <w:r w:rsidRPr="00780B70">
        <w:rPr>
          <w:rFonts w:ascii="Arial" w:eastAsia="Arial" w:hAnsi="Arial" w:cs="Arial"/>
        </w:rPr>
        <w:t>Gutfluss</w:t>
      </w:r>
      <w:proofErr w:type="spellEnd"/>
      <w:r w:rsidRPr="00780B70">
        <w:rPr>
          <w:rFonts w:ascii="Arial" w:eastAsia="Arial" w:hAnsi="Arial" w:cs="Arial"/>
        </w:rPr>
        <w:t xml:space="preserve"> zum Streuwerk.</w:t>
      </w:r>
    </w:p>
    <w:p w14:paraId="3915C661" w14:textId="77777777" w:rsidR="00780B70" w:rsidRPr="00780B70" w:rsidRDefault="00780B70" w:rsidP="00780B70">
      <w:pPr>
        <w:spacing w:after="120" w:line="360" w:lineRule="auto"/>
        <w:ind w:left="567" w:right="1695"/>
        <w:rPr>
          <w:rFonts w:ascii="Arial" w:eastAsia="Arial" w:hAnsi="Arial" w:cs="Arial"/>
        </w:rPr>
      </w:pPr>
    </w:p>
    <w:p w14:paraId="13683EF3" w14:textId="77777777" w:rsidR="00780B70" w:rsidRDefault="00780B70" w:rsidP="00780B70">
      <w:pPr>
        <w:spacing w:after="120" w:line="360" w:lineRule="auto"/>
        <w:ind w:left="567" w:right="1695"/>
        <w:rPr>
          <w:rFonts w:ascii="Arial" w:eastAsia="Arial" w:hAnsi="Arial" w:cs="Arial"/>
        </w:rPr>
      </w:pPr>
      <w:r w:rsidRPr="00780B70">
        <w:rPr>
          <w:rFonts w:ascii="Arial" w:eastAsia="Arial" w:hAnsi="Arial" w:cs="Arial"/>
        </w:rPr>
        <w:t>Das neu entwickelte Streuwerk stellt höchste Flächenleistungen sicher. Es verteilt den Kalk zuverlässig auf Arbeitsbreiten von bis zu 16 m.</w:t>
      </w:r>
    </w:p>
    <w:p w14:paraId="44712DD6" w14:textId="77777777" w:rsidR="00780B70" w:rsidRPr="00780B70" w:rsidRDefault="00780B70" w:rsidP="00780B70">
      <w:pPr>
        <w:spacing w:after="120" w:line="360" w:lineRule="auto"/>
        <w:ind w:left="567" w:right="1695"/>
        <w:rPr>
          <w:rFonts w:ascii="Arial" w:eastAsia="Arial" w:hAnsi="Arial" w:cs="Arial"/>
        </w:rPr>
      </w:pPr>
    </w:p>
    <w:p w14:paraId="21439D3D" w14:textId="77777777" w:rsidR="00780B70" w:rsidRPr="00780B70" w:rsidRDefault="00780B70" w:rsidP="00780B70">
      <w:pPr>
        <w:spacing w:after="120" w:line="360" w:lineRule="auto"/>
        <w:ind w:left="567" w:right="1695"/>
        <w:rPr>
          <w:rFonts w:ascii="Arial" w:eastAsia="Arial" w:hAnsi="Arial" w:cs="Arial"/>
          <w:b/>
          <w:bCs/>
        </w:rPr>
      </w:pPr>
      <w:r w:rsidRPr="00780B70">
        <w:rPr>
          <w:rFonts w:ascii="Arial" w:eastAsia="Arial" w:hAnsi="Arial" w:cs="Arial"/>
          <w:b/>
          <w:bCs/>
        </w:rPr>
        <w:lastRenderedPageBreak/>
        <w:t>Kalkstreuen neu gedacht</w:t>
      </w:r>
    </w:p>
    <w:p w14:paraId="39F3E00A"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Neben der Schlagkraft im harten Kalkeinsatz stand auch die Präzision im Fokus der Entwicklungen. So ermöglicht ein optional verfügbarer Mindermengenschieber gleichzeitig auch eine gleichmäßige Applikation von kleinen Kalkmengen unter 1 t/ha. Weiter lässt sich erstmals auch bei Kalk das Streubild durch eine einfache Aufgabepunktkorrektur optimieren.</w:t>
      </w:r>
    </w:p>
    <w:p w14:paraId="5BE69FEB" w14:textId="77777777" w:rsidR="00780B70" w:rsidRPr="00780B70" w:rsidRDefault="00780B70" w:rsidP="00780B70">
      <w:pPr>
        <w:spacing w:after="120" w:line="360" w:lineRule="auto"/>
        <w:ind w:left="567" w:right="1695"/>
        <w:rPr>
          <w:rFonts w:ascii="Arial" w:eastAsia="Arial" w:hAnsi="Arial" w:cs="Arial"/>
        </w:rPr>
      </w:pPr>
    </w:p>
    <w:p w14:paraId="3991F4BB"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Als Neuheit im Bereich der </w:t>
      </w:r>
      <w:proofErr w:type="spellStart"/>
      <w:r w:rsidRPr="00780B70">
        <w:rPr>
          <w:rFonts w:ascii="Arial" w:eastAsia="Arial" w:hAnsi="Arial" w:cs="Arial"/>
        </w:rPr>
        <w:t>Kombistreuer</w:t>
      </w:r>
      <w:proofErr w:type="spellEnd"/>
      <w:r w:rsidRPr="00780B70">
        <w:rPr>
          <w:rFonts w:ascii="Arial" w:eastAsia="Arial" w:hAnsi="Arial" w:cs="Arial"/>
        </w:rPr>
        <w:t xml:space="preserve"> liefert AMAZONE nun auf Wunsch ebenfalls einen Grenzstreuschirm für die Kalkausbringung. Damit kann auch dieser randscharf entlang von Feldgrenzen und Gräben ausgebracht werden.</w:t>
      </w:r>
    </w:p>
    <w:p w14:paraId="2F66752A" w14:textId="77777777" w:rsidR="00780B70" w:rsidRPr="00780B70" w:rsidRDefault="00780B70" w:rsidP="00780B70">
      <w:pPr>
        <w:spacing w:after="120" w:line="360" w:lineRule="auto"/>
        <w:ind w:left="567" w:right="1695"/>
        <w:rPr>
          <w:rFonts w:ascii="Arial" w:eastAsia="Arial" w:hAnsi="Arial" w:cs="Arial"/>
          <w:b/>
          <w:bCs/>
        </w:rPr>
      </w:pPr>
    </w:p>
    <w:p w14:paraId="08A98DD3" w14:textId="77777777" w:rsidR="00780B70" w:rsidRPr="00780B70" w:rsidRDefault="00780B70" w:rsidP="00780B70">
      <w:pPr>
        <w:spacing w:after="120" w:line="360" w:lineRule="auto"/>
        <w:ind w:left="567" w:right="1695"/>
        <w:rPr>
          <w:rFonts w:ascii="Arial" w:eastAsia="Arial" w:hAnsi="Arial" w:cs="Arial"/>
          <w:b/>
          <w:bCs/>
        </w:rPr>
      </w:pPr>
      <w:r w:rsidRPr="00780B70">
        <w:rPr>
          <w:rFonts w:ascii="Arial" w:eastAsia="Arial" w:hAnsi="Arial" w:cs="Arial"/>
          <w:b/>
          <w:bCs/>
        </w:rPr>
        <w:t>Die richtige Maschine für jeden Einsatzzweck</w:t>
      </w:r>
    </w:p>
    <w:p w14:paraId="6BB288A7" w14:textId="70CEBCA3"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Die verschiedenen Ausstattungsvarianten des angehängten </w:t>
      </w:r>
      <w:proofErr w:type="spellStart"/>
      <w:r w:rsidRPr="00780B70">
        <w:rPr>
          <w:rFonts w:ascii="Arial" w:eastAsia="Arial" w:hAnsi="Arial" w:cs="Arial"/>
        </w:rPr>
        <w:t>Kombistreuers</w:t>
      </w:r>
      <w:proofErr w:type="spellEnd"/>
      <w:r w:rsidRPr="00780B70">
        <w:rPr>
          <w:rFonts w:ascii="Arial" w:eastAsia="Arial" w:hAnsi="Arial" w:cs="Arial"/>
        </w:rPr>
        <w:t xml:space="preserve"> ZG-TX lassen sich speziell für den jeweiligen Einsatz bei Großbetrieben, Lohnunternehmern oder das Verleihgeschäft zuschneiden. Die Rahmenvariante Special kommt mit einem Behältervolumen von 6.800 l und 9.000 l bei einem maximal zulässigen Maschinengewicht von </w:t>
      </w:r>
      <w:r w:rsidR="00030C42">
        <w:rPr>
          <w:rFonts w:ascii="Arial" w:eastAsia="Arial" w:hAnsi="Arial" w:cs="Arial"/>
        </w:rPr>
        <w:t>12,5</w:t>
      </w:r>
      <w:r w:rsidRPr="00780B70">
        <w:rPr>
          <w:rFonts w:ascii="Arial" w:eastAsia="Arial" w:hAnsi="Arial" w:cs="Arial"/>
        </w:rPr>
        <w:t xml:space="preserve"> t sowie mit bis zu 11.200 l und 21 t bei der Rahmenvariante Super. </w:t>
      </w:r>
    </w:p>
    <w:p w14:paraId="3B3166EE" w14:textId="77777777" w:rsidR="00780B70" w:rsidRPr="00780B70" w:rsidRDefault="00780B70" w:rsidP="00780B70">
      <w:pPr>
        <w:spacing w:after="120" w:line="360" w:lineRule="auto"/>
        <w:ind w:left="567" w:right="1695"/>
        <w:rPr>
          <w:rFonts w:ascii="Arial" w:eastAsia="Arial" w:hAnsi="Arial" w:cs="Arial"/>
        </w:rPr>
      </w:pPr>
    </w:p>
    <w:p w14:paraId="71468077"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Während der ZG-TX Super serienmäßig über eine massive </w:t>
      </w:r>
      <w:proofErr w:type="spellStart"/>
      <w:r w:rsidRPr="00780B70">
        <w:rPr>
          <w:rFonts w:ascii="Arial" w:eastAsia="Arial" w:hAnsi="Arial" w:cs="Arial"/>
        </w:rPr>
        <w:t>Untenanhängung</w:t>
      </w:r>
      <w:proofErr w:type="spellEnd"/>
      <w:r w:rsidRPr="00780B70">
        <w:rPr>
          <w:rFonts w:ascii="Arial" w:eastAsia="Arial" w:hAnsi="Arial" w:cs="Arial"/>
        </w:rPr>
        <w:t xml:space="preserve"> verfügt, kann der ZG-TX Special wahlweise mit Oben- oder </w:t>
      </w:r>
      <w:proofErr w:type="spellStart"/>
      <w:r w:rsidRPr="00780B70">
        <w:rPr>
          <w:rFonts w:ascii="Arial" w:eastAsia="Arial" w:hAnsi="Arial" w:cs="Arial"/>
        </w:rPr>
        <w:t>Untenanhängung</w:t>
      </w:r>
      <w:proofErr w:type="spellEnd"/>
      <w:r w:rsidRPr="00780B70">
        <w:rPr>
          <w:rFonts w:ascii="Arial" w:eastAsia="Arial" w:hAnsi="Arial" w:cs="Arial"/>
        </w:rPr>
        <w:t xml:space="preserve"> ausgeliefert werden.</w:t>
      </w:r>
    </w:p>
    <w:p w14:paraId="38BB446D" w14:textId="77777777" w:rsidR="00780B70" w:rsidRPr="00780B70" w:rsidRDefault="00780B70" w:rsidP="00780B70">
      <w:pPr>
        <w:spacing w:after="120" w:line="360" w:lineRule="auto"/>
        <w:ind w:left="567" w:right="1695"/>
        <w:rPr>
          <w:rFonts w:ascii="Arial" w:eastAsia="Arial" w:hAnsi="Arial" w:cs="Arial"/>
        </w:rPr>
      </w:pPr>
    </w:p>
    <w:p w14:paraId="033CD25B"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Bis zu 2,05 m hohe AS-Reifen oder 750 mm breite Implement-Räder verteilen das Gewicht gleichmäßig auf den Boden. Die auf Wunsch verfügbare Achsschenkellenkung mit einem Lenkeinschlag bis zu 20 Grad rundet das Programm ab. Der schnelle Transport mit 40 km/h auf der Straße wird mit dem serienmäßig verbauten Zweileitungs-Druckluft-Bremssystem und der LED-Beleuchtung sichergestellt. </w:t>
      </w:r>
    </w:p>
    <w:p w14:paraId="4F5EAED8" w14:textId="77777777" w:rsidR="00780B70" w:rsidRPr="00780B70" w:rsidRDefault="00780B70" w:rsidP="00780B70">
      <w:pPr>
        <w:spacing w:after="120" w:line="360" w:lineRule="auto"/>
        <w:ind w:left="567" w:right="1695"/>
        <w:rPr>
          <w:rFonts w:ascii="Arial" w:eastAsia="Arial" w:hAnsi="Arial" w:cs="Arial"/>
        </w:rPr>
      </w:pPr>
    </w:p>
    <w:p w14:paraId="7E6680BD" w14:textId="77777777" w:rsidR="00780B70" w:rsidRDefault="00780B70" w:rsidP="00780B70">
      <w:pPr>
        <w:spacing w:after="120" w:line="360" w:lineRule="auto"/>
        <w:ind w:left="567" w:right="1695"/>
        <w:rPr>
          <w:rFonts w:ascii="Arial" w:eastAsia="Arial" w:hAnsi="Arial" w:cs="Arial"/>
        </w:rPr>
      </w:pPr>
      <w:r w:rsidRPr="00780B70">
        <w:rPr>
          <w:rFonts w:ascii="Arial" w:eastAsia="Arial" w:hAnsi="Arial" w:cs="Arial"/>
        </w:rPr>
        <w:t>Der um 5 Grad ansteigende Bandboden ermöglicht eine Entladung von hinten nach vorn. Dies garantiert eine optimale Lastverteilung während des Streuens. Maximale Stützlast und geringere Achslasten ermöglichen ein sicheres Befahren des Felds.</w:t>
      </w:r>
    </w:p>
    <w:p w14:paraId="062C1A1F" w14:textId="77777777" w:rsidR="00780B70" w:rsidRPr="00780B70" w:rsidRDefault="00780B70" w:rsidP="00780B70">
      <w:pPr>
        <w:spacing w:after="120" w:line="360" w:lineRule="auto"/>
        <w:ind w:left="567" w:right="1695"/>
        <w:rPr>
          <w:rFonts w:ascii="Arial" w:eastAsia="Arial" w:hAnsi="Arial" w:cs="Arial"/>
        </w:rPr>
      </w:pPr>
    </w:p>
    <w:p w14:paraId="3D65D58F" w14:textId="77777777" w:rsidR="00780B70" w:rsidRPr="00780B70" w:rsidRDefault="00780B70" w:rsidP="00780B70">
      <w:pPr>
        <w:spacing w:after="120" w:line="360" w:lineRule="auto"/>
        <w:ind w:left="567" w:right="1695"/>
        <w:rPr>
          <w:rFonts w:ascii="Arial" w:eastAsia="Arial" w:hAnsi="Arial" w:cs="Arial"/>
          <w:b/>
          <w:bCs/>
        </w:rPr>
      </w:pPr>
      <w:r w:rsidRPr="00780B70">
        <w:rPr>
          <w:rFonts w:ascii="Arial" w:eastAsia="Arial" w:hAnsi="Arial" w:cs="Arial"/>
          <w:b/>
          <w:bCs/>
        </w:rPr>
        <w:t>Komfortabel bedient mit Easy und ISOBUS</w:t>
      </w:r>
    </w:p>
    <w:p w14:paraId="06BEB561"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Mit den beiden Bedienkonzepten Easy und Tronic steht für jede Anwendung die richtige Bedienung zu Verfügung. Im ZG-TX Tronic eröffnet die neue intuitive ISOBUS-Steuerung alle Funktionen der ISOBUS-Welt. Neben </w:t>
      </w:r>
      <w:proofErr w:type="spellStart"/>
      <w:r w:rsidRPr="00780B70">
        <w:rPr>
          <w:rFonts w:ascii="Arial" w:eastAsia="Arial" w:hAnsi="Arial" w:cs="Arial"/>
        </w:rPr>
        <w:t>Section</w:t>
      </w:r>
      <w:proofErr w:type="spellEnd"/>
      <w:r w:rsidRPr="00780B70">
        <w:rPr>
          <w:rFonts w:ascii="Arial" w:eastAsia="Arial" w:hAnsi="Arial" w:cs="Arial"/>
        </w:rPr>
        <w:t xml:space="preserve"> Control, teilflächenspezifischer Applikation und Auftragsmanagement, lässt sich die Steuerung mit AUX-N in die Bedienung des Traktors integrieren. Mit bis zu 3 Kameras hat man jederzeit das Umfeld und die Maschine im Blick. Auch beim ZG-TX wird das optionale Beleuchtungspaket in die Software integriert. Im intelligenten Zusammenspiel mit der digitalen Füllstandsanzeige signalisiert ein Blinken den Behälterfüllstand und ermöglicht eine optimale Beladung. Hier bleiben keine Wünsche offen. </w:t>
      </w:r>
    </w:p>
    <w:p w14:paraId="5D410954" w14:textId="77777777" w:rsidR="00780B70" w:rsidRPr="00780B70" w:rsidRDefault="00780B70" w:rsidP="00780B70">
      <w:pPr>
        <w:spacing w:after="120" w:line="360" w:lineRule="auto"/>
        <w:ind w:left="567" w:right="1695"/>
        <w:rPr>
          <w:rFonts w:ascii="Arial" w:eastAsia="Arial" w:hAnsi="Arial" w:cs="Arial"/>
        </w:rPr>
      </w:pPr>
    </w:p>
    <w:p w14:paraId="230FB31C" w14:textId="77777777" w:rsid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Die Bedienung mit dem maschinenspezifischen Bediencomputer </w:t>
      </w:r>
      <w:proofErr w:type="spellStart"/>
      <w:r w:rsidRPr="00780B70">
        <w:rPr>
          <w:rFonts w:ascii="Arial" w:eastAsia="Arial" w:hAnsi="Arial" w:cs="Arial"/>
        </w:rPr>
        <w:t>EasySet</w:t>
      </w:r>
      <w:proofErr w:type="spellEnd"/>
      <w:r w:rsidRPr="00780B70">
        <w:rPr>
          <w:rFonts w:ascii="Arial" w:eastAsia="Arial" w:hAnsi="Arial" w:cs="Arial"/>
        </w:rPr>
        <w:t xml:space="preserve"> 2, die ebenfalls bei den </w:t>
      </w:r>
      <w:proofErr w:type="spellStart"/>
      <w:r w:rsidRPr="00780B70">
        <w:rPr>
          <w:rFonts w:ascii="Arial" w:eastAsia="Arial" w:hAnsi="Arial" w:cs="Arial"/>
        </w:rPr>
        <w:t>Anbaustreuern</w:t>
      </w:r>
      <w:proofErr w:type="spellEnd"/>
      <w:r w:rsidRPr="00780B70">
        <w:rPr>
          <w:rFonts w:ascii="Arial" w:eastAsia="Arial" w:hAnsi="Arial" w:cs="Arial"/>
        </w:rPr>
        <w:t xml:space="preserve"> ZA-X, ZA-M und ZA-V genutzt wird, garantiert eine einfache Bedienung mit jedem Traktor. Im Fokus steht hier die fahrgeschwindigkeitsabhängige Mengenregelung. Mit geringsten Anforderungen an die Zugmaschine lassen sich somit sehr einfach verschiedenste Traktoren einsetzen.</w:t>
      </w:r>
    </w:p>
    <w:p w14:paraId="4F72BC30" w14:textId="77777777" w:rsidR="00780B70" w:rsidRPr="00780B70" w:rsidRDefault="00780B70" w:rsidP="00780B70">
      <w:pPr>
        <w:spacing w:after="120" w:line="360" w:lineRule="auto"/>
        <w:ind w:left="567" w:right="1695"/>
        <w:rPr>
          <w:rFonts w:ascii="Arial" w:eastAsia="Arial" w:hAnsi="Arial" w:cs="Arial"/>
        </w:rPr>
      </w:pPr>
    </w:p>
    <w:p w14:paraId="2C56F99D" w14:textId="77777777" w:rsidR="00780B70" w:rsidRPr="00780B70" w:rsidRDefault="00780B70" w:rsidP="00780B70">
      <w:pPr>
        <w:spacing w:after="120" w:line="360" w:lineRule="auto"/>
        <w:ind w:left="567" w:right="1695"/>
        <w:rPr>
          <w:rFonts w:ascii="Arial" w:eastAsia="Arial" w:hAnsi="Arial" w:cs="Arial"/>
          <w:b/>
          <w:bCs/>
        </w:rPr>
      </w:pPr>
      <w:r w:rsidRPr="00780B70">
        <w:rPr>
          <w:rFonts w:ascii="Arial" w:eastAsia="Arial" w:hAnsi="Arial" w:cs="Arial"/>
          <w:b/>
          <w:bCs/>
        </w:rPr>
        <w:t>Gleichmäßige Bestände am Vorgewende</w:t>
      </w:r>
    </w:p>
    <w:p w14:paraId="1FB2B79B"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Bei den ISOBUS-Maschinen sorgt </w:t>
      </w:r>
      <w:proofErr w:type="spellStart"/>
      <w:r w:rsidRPr="00780B70">
        <w:rPr>
          <w:rFonts w:ascii="Arial" w:eastAsia="Arial" w:hAnsi="Arial" w:cs="Arial"/>
        </w:rPr>
        <w:t>HeadlandControl</w:t>
      </w:r>
      <w:proofErr w:type="spellEnd"/>
      <w:r w:rsidRPr="00780B70">
        <w:rPr>
          <w:rFonts w:ascii="Arial" w:eastAsia="Arial" w:hAnsi="Arial" w:cs="Arial"/>
        </w:rPr>
        <w:t xml:space="preserve"> für die perfekte Verteilung am Vorgewende. Im Zusammenspiel mit der elektrischen Aufgabepunktverstellung werden 16 Teilbreiten in der Parabelform des Streufächers geschaltet. Ferner wird das Vorgewende ins Feldinnere weiter </w:t>
      </w:r>
      <w:r w:rsidRPr="00780B70">
        <w:rPr>
          <w:rFonts w:ascii="Arial" w:eastAsia="Arial" w:hAnsi="Arial" w:cs="Arial"/>
        </w:rPr>
        <w:lastRenderedPageBreak/>
        <w:t xml:space="preserve">ausgestreut, wodurch auch mit dem gezogenen Streuer ein </w:t>
      </w:r>
      <w:proofErr w:type="spellStart"/>
      <w:r w:rsidRPr="00780B70">
        <w:rPr>
          <w:rFonts w:ascii="Arial" w:eastAsia="Arial" w:hAnsi="Arial" w:cs="Arial"/>
        </w:rPr>
        <w:t>Section</w:t>
      </w:r>
      <w:proofErr w:type="spellEnd"/>
      <w:r w:rsidRPr="00780B70">
        <w:rPr>
          <w:rFonts w:ascii="Arial" w:eastAsia="Arial" w:hAnsi="Arial" w:cs="Arial"/>
        </w:rPr>
        <w:t xml:space="preserve"> Control an den optimalen Schaltpunkten möglich </w:t>
      </w:r>
      <w:proofErr w:type="gramStart"/>
      <w:r w:rsidRPr="00780B70">
        <w:rPr>
          <w:rFonts w:ascii="Arial" w:eastAsia="Arial" w:hAnsi="Arial" w:cs="Arial"/>
        </w:rPr>
        <w:t>ist</w:t>
      </w:r>
      <w:proofErr w:type="gramEnd"/>
      <w:r w:rsidRPr="00780B70">
        <w:rPr>
          <w:rFonts w:ascii="Arial" w:eastAsia="Arial" w:hAnsi="Arial" w:cs="Arial"/>
        </w:rPr>
        <w:t xml:space="preserve"> ohne die </w:t>
      </w:r>
      <w:proofErr w:type="spellStart"/>
      <w:r w:rsidRPr="00780B70">
        <w:rPr>
          <w:rFonts w:ascii="Arial" w:eastAsia="Arial" w:hAnsi="Arial" w:cs="Arial"/>
        </w:rPr>
        <w:t>Vorgewendespur</w:t>
      </w:r>
      <w:proofErr w:type="spellEnd"/>
      <w:r w:rsidRPr="00780B70">
        <w:rPr>
          <w:rFonts w:ascii="Arial" w:eastAsia="Arial" w:hAnsi="Arial" w:cs="Arial"/>
        </w:rPr>
        <w:t xml:space="preserve"> überfahren zu müssen. Das Zusammenspiel der Komponenten des TS-Streuwerks macht den ZG-TX zum wahren </w:t>
      </w:r>
      <w:proofErr w:type="spellStart"/>
      <w:r w:rsidRPr="00780B70">
        <w:rPr>
          <w:rFonts w:ascii="Arial" w:eastAsia="Arial" w:hAnsi="Arial" w:cs="Arial"/>
        </w:rPr>
        <w:t>Präzisionsstreuer</w:t>
      </w:r>
      <w:proofErr w:type="spellEnd"/>
      <w:r w:rsidRPr="00780B70">
        <w:rPr>
          <w:rFonts w:ascii="Arial" w:eastAsia="Arial" w:hAnsi="Arial" w:cs="Arial"/>
        </w:rPr>
        <w:t xml:space="preserve"> in seiner Klasse. </w:t>
      </w:r>
    </w:p>
    <w:p w14:paraId="055346D6" w14:textId="77777777" w:rsidR="009477A9" w:rsidRDefault="009477A9" w:rsidP="00161FDD">
      <w:pPr>
        <w:spacing w:after="120" w:line="360" w:lineRule="auto"/>
        <w:ind w:left="567" w:right="1695"/>
        <w:rPr>
          <w:rFonts w:ascii="Arial" w:eastAsia="Arial" w:hAnsi="Arial" w:cs="Arial"/>
        </w:rPr>
      </w:pPr>
    </w:p>
    <w:p w14:paraId="6855F60C" w14:textId="77777777" w:rsidR="00496488" w:rsidRDefault="00496488"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CFB26A9" w14:textId="012A27F6" w:rsidR="00780B70" w:rsidRPr="00780B70" w:rsidRDefault="00780B70" w:rsidP="00780B70">
      <w:pPr>
        <w:pStyle w:val="Listenabsatz"/>
        <w:numPr>
          <w:ilvl w:val="0"/>
          <w:numId w:val="19"/>
        </w:numPr>
        <w:spacing w:after="120" w:line="360" w:lineRule="auto"/>
        <w:ind w:right="1695"/>
        <w:rPr>
          <w:rFonts w:ascii="Arial" w:eastAsia="Arial" w:hAnsi="Arial" w:cs="Arial"/>
        </w:rPr>
      </w:pPr>
      <w:r w:rsidRPr="00780B70">
        <w:rPr>
          <w:rFonts w:ascii="Arial" w:eastAsia="Arial" w:hAnsi="Arial" w:cs="Arial"/>
          <w:b/>
          <w:bCs/>
        </w:rPr>
        <w:t>Flexible Anwendungsbereiche</w:t>
      </w:r>
      <w:r>
        <w:rPr>
          <w:rFonts w:ascii="Arial" w:eastAsia="Arial" w:hAnsi="Arial" w:cs="Arial"/>
        </w:rPr>
        <w:br/>
      </w:r>
      <w:r w:rsidRPr="00780B70">
        <w:rPr>
          <w:rFonts w:ascii="Arial" w:eastAsia="Arial" w:hAnsi="Arial" w:cs="Arial"/>
        </w:rPr>
        <w:t>Schneller und einfacher Umbau zwischen Kalk- und Düngerstreuwerk</w:t>
      </w:r>
    </w:p>
    <w:p w14:paraId="6A06F47D" w14:textId="3CE212FB" w:rsidR="00780B70" w:rsidRPr="00780B70" w:rsidRDefault="00780B70" w:rsidP="00780B70">
      <w:pPr>
        <w:pStyle w:val="Listenabsatz"/>
        <w:numPr>
          <w:ilvl w:val="0"/>
          <w:numId w:val="19"/>
        </w:numPr>
        <w:spacing w:after="120" w:line="360" w:lineRule="auto"/>
        <w:ind w:right="1695"/>
        <w:rPr>
          <w:rFonts w:ascii="Arial" w:eastAsia="Arial" w:hAnsi="Arial" w:cs="Arial"/>
        </w:rPr>
      </w:pPr>
      <w:r w:rsidRPr="00780B70">
        <w:rPr>
          <w:rFonts w:ascii="Arial" w:eastAsia="Arial" w:hAnsi="Arial" w:cs="Arial"/>
          <w:b/>
          <w:bCs/>
        </w:rPr>
        <w:t>Hervorragende Streubilder</w:t>
      </w:r>
      <w:r w:rsidRPr="00780B70">
        <w:rPr>
          <w:rFonts w:ascii="Arial" w:eastAsia="Arial" w:hAnsi="Arial" w:cs="Arial"/>
        </w:rPr>
        <w:t xml:space="preserve"> </w:t>
      </w:r>
      <w:r>
        <w:rPr>
          <w:rFonts w:ascii="Arial" w:eastAsia="Arial" w:hAnsi="Arial" w:cs="Arial"/>
        </w:rPr>
        <w:br/>
      </w:r>
      <w:r w:rsidRPr="00780B70">
        <w:rPr>
          <w:rFonts w:ascii="Arial" w:eastAsia="Arial" w:hAnsi="Arial" w:cs="Arial"/>
        </w:rPr>
        <w:t>Präzise Querverteilung für Dünger und Kalk dank bewährtem TS-Streuwerk und neu entwickeltem Kalkstreuwerk</w:t>
      </w:r>
    </w:p>
    <w:p w14:paraId="27DE4A1C" w14:textId="47FEEFB7" w:rsidR="00780B70" w:rsidRPr="00780B70" w:rsidRDefault="00780B70" w:rsidP="00780B70">
      <w:pPr>
        <w:pStyle w:val="Listenabsatz"/>
        <w:numPr>
          <w:ilvl w:val="0"/>
          <w:numId w:val="19"/>
        </w:numPr>
        <w:spacing w:after="120" w:line="360" w:lineRule="auto"/>
        <w:ind w:right="1695"/>
        <w:rPr>
          <w:rFonts w:ascii="Arial" w:eastAsia="Arial" w:hAnsi="Arial" w:cs="Arial"/>
        </w:rPr>
      </w:pPr>
      <w:r w:rsidRPr="00780B70">
        <w:rPr>
          <w:rFonts w:ascii="Arial" w:eastAsia="Arial" w:hAnsi="Arial" w:cs="Arial"/>
          <w:b/>
          <w:bCs/>
        </w:rPr>
        <w:t xml:space="preserve">Perfektes Grenzstreuen </w:t>
      </w:r>
      <w:r>
        <w:rPr>
          <w:rFonts w:ascii="Arial" w:eastAsia="Arial" w:hAnsi="Arial" w:cs="Arial"/>
        </w:rPr>
        <w:br/>
      </w:r>
      <w:r w:rsidRPr="00780B70">
        <w:rPr>
          <w:rFonts w:ascii="Arial" w:eastAsia="Arial" w:hAnsi="Arial" w:cs="Arial"/>
        </w:rPr>
        <w:t xml:space="preserve">Bis zu 17 % Mehrertrag am Feldrand mit dem Grenzstreusystem </w:t>
      </w:r>
      <w:proofErr w:type="spellStart"/>
      <w:r w:rsidRPr="00780B70">
        <w:rPr>
          <w:rFonts w:ascii="Arial" w:eastAsia="Arial" w:hAnsi="Arial" w:cs="Arial"/>
        </w:rPr>
        <w:t>AutoTS</w:t>
      </w:r>
      <w:proofErr w:type="spellEnd"/>
      <w:r w:rsidRPr="00780B70">
        <w:rPr>
          <w:rFonts w:ascii="Arial" w:eastAsia="Arial" w:hAnsi="Arial" w:cs="Arial"/>
        </w:rPr>
        <w:t xml:space="preserve"> – erwiesen durch Feldversuche der Innovation Farm, Wieselburg</w:t>
      </w:r>
    </w:p>
    <w:p w14:paraId="7C5B29AD" w14:textId="7DF8447E" w:rsidR="00161FDD" w:rsidRDefault="00780B70" w:rsidP="00780B70">
      <w:pPr>
        <w:pStyle w:val="Listenabsatz"/>
        <w:numPr>
          <w:ilvl w:val="0"/>
          <w:numId w:val="19"/>
        </w:numPr>
        <w:spacing w:after="120" w:line="360" w:lineRule="auto"/>
        <w:ind w:right="1695"/>
        <w:rPr>
          <w:rFonts w:ascii="Arial" w:eastAsia="Arial" w:hAnsi="Arial" w:cs="Arial"/>
        </w:rPr>
      </w:pPr>
      <w:r w:rsidRPr="00780B70">
        <w:rPr>
          <w:rFonts w:ascii="Arial" w:eastAsia="Arial" w:hAnsi="Arial" w:cs="Arial"/>
          <w:b/>
          <w:bCs/>
        </w:rPr>
        <w:t>Maximale Schlagkraft</w:t>
      </w:r>
      <w:r>
        <w:rPr>
          <w:rFonts w:ascii="Arial" w:eastAsia="Arial" w:hAnsi="Arial" w:cs="Arial"/>
        </w:rPr>
        <w:t xml:space="preserve"> </w:t>
      </w:r>
      <w:r>
        <w:rPr>
          <w:rFonts w:ascii="Arial" w:eastAsia="Arial" w:hAnsi="Arial" w:cs="Arial"/>
        </w:rPr>
        <w:br/>
      </w:r>
      <w:r w:rsidRPr="00780B70">
        <w:rPr>
          <w:rFonts w:ascii="Arial" w:eastAsia="Arial" w:hAnsi="Arial" w:cs="Arial"/>
        </w:rPr>
        <w:t>Bis zu 54 m Arbeitsbreite, 11.200 l Volumen und 1</w:t>
      </w:r>
      <w:r w:rsidR="00030C42">
        <w:rPr>
          <w:rFonts w:ascii="Arial" w:eastAsia="Arial" w:hAnsi="Arial" w:cs="Arial"/>
        </w:rPr>
        <w:t>7</w:t>
      </w:r>
      <w:r w:rsidRPr="00780B70">
        <w:rPr>
          <w:rFonts w:ascii="Arial" w:eastAsia="Arial" w:hAnsi="Arial" w:cs="Arial"/>
        </w:rPr>
        <w:t xml:space="preserve"> t Zuladung</w:t>
      </w:r>
    </w:p>
    <w:p w14:paraId="08BFF0E0" w14:textId="77777777" w:rsidR="00780B70" w:rsidRPr="00780B70" w:rsidRDefault="00780B70" w:rsidP="00780B70">
      <w:pPr>
        <w:spacing w:after="120" w:line="360" w:lineRule="auto"/>
        <w:ind w:left="567" w:right="1695"/>
        <w:rPr>
          <w:rFonts w:ascii="Arial" w:eastAsia="Arial" w:hAnsi="Arial" w:cs="Arial"/>
        </w:rPr>
      </w:pPr>
    </w:p>
    <w:p w14:paraId="0BB2E8B6" w14:textId="77777777" w:rsidR="00496488" w:rsidRDefault="00496488" w:rsidP="00161FDD">
      <w:pPr>
        <w:spacing w:after="120" w:line="360" w:lineRule="auto"/>
        <w:ind w:left="567" w:right="1695"/>
        <w:rPr>
          <w:rFonts w:ascii="Arial" w:eastAsia="Arial" w:hAnsi="Arial" w:cs="Arial"/>
        </w:rPr>
      </w:pPr>
    </w:p>
    <w:p w14:paraId="6A22D455" w14:textId="33890612" w:rsidR="00780B70" w:rsidRDefault="00780B70"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ABABF53" wp14:editId="40F5C6F3">
            <wp:extent cx="3477600" cy="2880000"/>
            <wp:effectExtent l="0" t="0" r="2540" b="3175"/>
            <wp:docPr id="3921683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168313" name="Grafik 392168313"/>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E4FFB4B"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Der angehängte </w:t>
      </w:r>
      <w:proofErr w:type="spellStart"/>
      <w:r w:rsidRPr="00780B70">
        <w:rPr>
          <w:rFonts w:ascii="Arial" w:eastAsia="Arial" w:hAnsi="Arial" w:cs="Arial"/>
        </w:rPr>
        <w:t>Kombistreuer</w:t>
      </w:r>
      <w:proofErr w:type="spellEnd"/>
      <w:r w:rsidRPr="00780B70">
        <w:rPr>
          <w:rFonts w:ascii="Arial" w:eastAsia="Arial" w:hAnsi="Arial" w:cs="Arial"/>
        </w:rPr>
        <w:t xml:space="preserve"> ZG-TX 11200 Super mit maximalem Volumen bei großen Arbeitsbreiten</w:t>
      </w:r>
    </w:p>
    <w:p w14:paraId="318BF51D" w14:textId="77777777" w:rsidR="00780B70" w:rsidRDefault="00780B70" w:rsidP="00161FDD">
      <w:pPr>
        <w:spacing w:after="120" w:line="360" w:lineRule="auto"/>
        <w:ind w:left="567" w:right="1695"/>
        <w:rPr>
          <w:rFonts w:ascii="Arial" w:eastAsia="Arial" w:hAnsi="Arial" w:cs="Arial"/>
        </w:rPr>
      </w:pPr>
    </w:p>
    <w:p w14:paraId="4DC1F906" w14:textId="77777777" w:rsidR="00780B70" w:rsidRDefault="00780B70" w:rsidP="00161FDD">
      <w:pPr>
        <w:spacing w:after="120" w:line="360" w:lineRule="auto"/>
        <w:ind w:left="567" w:right="1695"/>
        <w:rPr>
          <w:rFonts w:ascii="Arial" w:eastAsia="Arial" w:hAnsi="Arial" w:cs="Arial"/>
        </w:rPr>
      </w:pPr>
    </w:p>
    <w:p w14:paraId="077086F8" w14:textId="01F812D2" w:rsidR="008E229C" w:rsidRDefault="008E229C"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4F6AC2D" wp14:editId="7F8BA449">
            <wp:extent cx="1440000" cy="1440000"/>
            <wp:effectExtent l="0" t="0" r="0" b="0"/>
            <wp:docPr id="2954046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404674" name="Grafik 29540467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7887254F" w14:textId="77777777" w:rsidR="00780B70" w:rsidRPr="008E229C" w:rsidRDefault="00780B70" w:rsidP="00780B70">
      <w:pPr>
        <w:spacing w:after="120" w:line="360" w:lineRule="auto"/>
        <w:ind w:left="567" w:right="1695"/>
        <w:rPr>
          <w:rFonts w:ascii="Arial" w:eastAsia="Arial" w:hAnsi="Arial" w:cs="Arial"/>
          <w:color w:val="000000" w:themeColor="text1"/>
        </w:rPr>
      </w:pPr>
      <w:r w:rsidRPr="008E229C">
        <w:rPr>
          <w:rFonts w:ascii="Arial" w:eastAsia="Arial" w:hAnsi="Arial" w:cs="Arial"/>
          <w:color w:val="000000" w:themeColor="text1"/>
        </w:rPr>
        <w:t xml:space="preserve">Einsatzvideo ZG-TX: </w:t>
      </w:r>
    </w:p>
    <w:p w14:paraId="53D8E5AF" w14:textId="77777777" w:rsidR="008E229C" w:rsidRPr="008E229C" w:rsidRDefault="008E229C" w:rsidP="008E229C">
      <w:pPr>
        <w:spacing w:after="120" w:line="360" w:lineRule="auto"/>
        <w:ind w:left="567" w:right="1695"/>
        <w:rPr>
          <w:rFonts w:ascii="Arial" w:eastAsia="Arial" w:hAnsi="Arial" w:cs="Arial"/>
          <w:b/>
          <w:bCs/>
          <w:color w:val="000000" w:themeColor="text1"/>
        </w:rPr>
      </w:pPr>
      <w:r w:rsidRPr="008E229C">
        <w:rPr>
          <w:rFonts w:ascii="Arial" w:eastAsia="Arial" w:hAnsi="Arial" w:cs="Arial"/>
          <w:b/>
          <w:bCs/>
          <w:color w:val="000000" w:themeColor="text1"/>
        </w:rPr>
        <w:t>www.amazone.net/yt-zg-tx</w:t>
      </w:r>
    </w:p>
    <w:p w14:paraId="060F0B91" w14:textId="77777777" w:rsidR="00780B70" w:rsidRDefault="00780B70" w:rsidP="00161FDD">
      <w:pPr>
        <w:spacing w:after="120" w:line="360" w:lineRule="auto"/>
        <w:ind w:left="567" w:right="1695"/>
        <w:rPr>
          <w:rFonts w:ascii="Arial" w:eastAsia="Arial" w:hAnsi="Arial" w:cs="Arial"/>
        </w:rPr>
      </w:pPr>
    </w:p>
    <w:p w14:paraId="02D5A3B3" w14:textId="77777777" w:rsidR="00780B70" w:rsidRDefault="00780B70" w:rsidP="00161FDD">
      <w:pPr>
        <w:spacing w:after="120" w:line="360" w:lineRule="auto"/>
        <w:ind w:left="567" w:right="1695"/>
        <w:rPr>
          <w:rFonts w:ascii="Arial" w:eastAsia="Arial" w:hAnsi="Arial" w:cs="Arial"/>
        </w:rPr>
      </w:pPr>
    </w:p>
    <w:p w14:paraId="6934A336" w14:textId="77777777" w:rsidR="00780B70" w:rsidRDefault="00780B70" w:rsidP="00161FDD">
      <w:pPr>
        <w:spacing w:after="120" w:line="360" w:lineRule="auto"/>
        <w:ind w:left="567" w:right="1695"/>
        <w:rPr>
          <w:rFonts w:ascii="Arial" w:eastAsia="Arial" w:hAnsi="Arial" w:cs="Arial"/>
        </w:rPr>
      </w:pPr>
    </w:p>
    <w:p w14:paraId="21E2D9E7" w14:textId="77777777" w:rsidR="00780B70" w:rsidRDefault="00780B70" w:rsidP="00161FDD">
      <w:pPr>
        <w:spacing w:after="120" w:line="360" w:lineRule="auto"/>
        <w:ind w:left="567" w:right="1695"/>
        <w:rPr>
          <w:rFonts w:ascii="Arial" w:eastAsia="Arial" w:hAnsi="Arial" w:cs="Arial"/>
        </w:rPr>
      </w:pPr>
    </w:p>
    <w:p w14:paraId="7E4A7ADC" w14:textId="77777777" w:rsidR="00780B70" w:rsidRDefault="00780B70" w:rsidP="00161FDD">
      <w:pPr>
        <w:spacing w:after="120" w:line="360" w:lineRule="auto"/>
        <w:ind w:left="567" w:right="1695"/>
        <w:rPr>
          <w:rFonts w:ascii="Arial" w:eastAsia="Arial" w:hAnsi="Arial" w:cs="Arial"/>
        </w:rPr>
      </w:pPr>
    </w:p>
    <w:p w14:paraId="5793925A" w14:textId="2DD2CE06" w:rsidR="00874555" w:rsidRDefault="00780B70"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B368FBA" wp14:editId="1C45E884">
            <wp:extent cx="6120000" cy="2109600"/>
            <wp:effectExtent l="0" t="0" r="1905" b="0"/>
            <wp:docPr id="184471758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717585" name="Grafik 184471758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D0D900B"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Das in Fahrtrichtung rechts verbaute Grenzstreusystem </w:t>
      </w:r>
      <w:proofErr w:type="spellStart"/>
      <w:r w:rsidRPr="00780B70">
        <w:rPr>
          <w:rFonts w:ascii="Arial" w:eastAsia="Arial" w:hAnsi="Arial" w:cs="Arial"/>
        </w:rPr>
        <w:t>AutoTS</w:t>
      </w:r>
      <w:proofErr w:type="spellEnd"/>
      <w:r w:rsidRPr="00780B70">
        <w:rPr>
          <w:rFonts w:ascii="Arial" w:eastAsia="Arial" w:hAnsi="Arial" w:cs="Arial"/>
        </w:rPr>
        <w:t xml:space="preserve"> generiert den maximalen Ertrag bis zur Feldgrenze und setzt neue Maßstäbe im Segment der </w:t>
      </w:r>
      <w:proofErr w:type="spellStart"/>
      <w:r w:rsidRPr="00780B70">
        <w:rPr>
          <w:rFonts w:ascii="Arial" w:eastAsia="Arial" w:hAnsi="Arial" w:cs="Arial"/>
        </w:rPr>
        <w:t>Kombistreuer</w:t>
      </w:r>
      <w:proofErr w:type="spellEnd"/>
      <w:r w:rsidRPr="00780B70">
        <w:rPr>
          <w:rFonts w:ascii="Arial" w:eastAsia="Arial" w:hAnsi="Arial" w:cs="Arial"/>
        </w:rPr>
        <w:t>.</w:t>
      </w:r>
    </w:p>
    <w:p w14:paraId="4DC9157D" w14:textId="77777777" w:rsidR="00780B70" w:rsidRDefault="00780B70" w:rsidP="00161FDD">
      <w:pPr>
        <w:spacing w:after="120" w:line="360" w:lineRule="auto"/>
        <w:ind w:left="567" w:right="1695"/>
        <w:rPr>
          <w:rFonts w:ascii="Arial" w:eastAsia="Arial" w:hAnsi="Arial" w:cs="Arial"/>
        </w:rPr>
      </w:pPr>
    </w:p>
    <w:p w14:paraId="19A24A3E" w14:textId="77777777" w:rsidR="00780B70" w:rsidRDefault="00780B70" w:rsidP="00161FDD">
      <w:pPr>
        <w:spacing w:after="120" w:line="360" w:lineRule="auto"/>
        <w:ind w:left="567" w:right="1695"/>
        <w:rPr>
          <w:rFonts w:ascii="Arial" w:eastAsia="Arial" w:hAnsi="Arial" w:cs="Arial"/>
        </w:rPr>
      </w:pPr>
    </w:p>
    <w:p w14:paraId="76BC0F68" w14:textId="1AED5789" w:rsidR="00780B70" w:rsidRDefault="00780B70"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E43D546" wp14:editId="0400583E">
            <wp:extent cx="6120000" cy="2109600"/>
            <wp:effectExtent l="0" t="0" r="1905" b="0"/>
            <wp:docPr id="141489432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94321" name="Grafik 14148943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B526993"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Der neuentwickelte Grenzstreuschirm für Kalk ermöglicht ein exaktes Arbeiten bis zur Feldgrenze.</w:t>
      </w:r>
    </w:p>
    <w:p w14:paraId="5CD4D148" w14:textId="77777777" w:rsidR="00780B70" w:rsidRDefault="00780B70" w:rsidP="00161FDD">
      <w:pPr>
        <w:spacing w:after="120" w:line="360" w:lineRule="auto"/>
        <w:ind w:left="567" w:right="1695"/>
        <w:rPr>
          <w:rFonts w:ascii="Arial" w:eastAsia="Arial" w:hAnsi="Arial" w:cs="Arial"/>
        </w:rPr>
      </w:pPr>
    </w:p>
    <w:p w14:paraId="5CF9BDC7" w14:textId="77777777" w:rsidR="00780B70" w:rsidRDefault="00780B70" w:rsidP="00161FDD">
      <w:pPr>
        <w:spacing w:after="120" w:line="360" w:lineRule="auto"/>
        <w:ind w:left="567" w:right="1695"/>
        <w:rPr>
          <w:rFonts w:ascii="Arial" w:eastAsia="Arial" w:hAnsi="Arial" w:cs="Arial"/>
        </w:rPr>
      </w:pPr>
    </w:p>
    <w:p w14:paraId="376A54F7" w14:textId="081FCA9F" w:rsidR="00780B70" w:rsidRDefault="00780B70"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E34B922" wp14:editId="0E2A3357">
            <wp:extent cx="2646000" cy="2250000"/>
            <wp:effectExtent l="0" t="0" r="0" b="0"/>
            <wp:docPr id="102862578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625784" name="Grafik 102862578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46000" cy="2250000"/>
                    </a:xfrm>
                    <a:prstGeom prst="rect">
                      <a:avLst/>
                    </a:prstGeom>
                  </pic:spPr>
                </pic:pic>
              </a:graphicData>
            </a:graphic>
          </wp:inline>
        </w:drawing>
      </w:r>
      <w:r>
        <w:rPr>
          <w:rFonts w:ascii="Arial" w:eastAsia="Arial" w:hAnsi="Arial" w:cs="Arial"/>
          <w:noProof/>
        </w:rPr>
        <w:drawing>
          <wp:inline distT="0" distB="0" distL="0" distR="0" wp14:anchorId="46ACE5DE" wp14:editId="42E60A69">
            <wp:extent cx="2642400" cy="2250000"/>
            <wp:effectExtent l="0" t="0" r="0" b="0"/>
            <wp:docPr id="49738174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381740" name="Grafik 49738174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42400" cy="2250000"/>
                    </a:xfrm>
                    <a:prstGeom prst="rect">
                      <a:avLst/>
                    </a:prstGeom>
                  </pic:spPr>
                </pic:pic>
              </a:graphicData>
            </a:graphic>
          </wp:inline>
        </w:drawing>
      </w:r>
    </w:p>
    <w:p w14:paraId="69D36CC9"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Für den Umbau vom Düngereinsatz </w:t>
      </w:r>
      <w:r w:rsidRPr="00780B70">
        <w:rPr>
          <w:rFonts w:ascii="Arial" w:eastAsia="Arial" w:hAnsi="Arial" w:cs="Arial"/>
          <w:b/>
          <w:bCs/>
        </w:rPr>
        <w:t>(links)</w:t>
      </w:r>
      <w:r w:rsidRPr="00780B70">
        <w:rPr>
          <w:rFonts w:ascii="Arial" w:eastAsia="Arial" w:hAnsi="Arial" w:cs="Arial"/>
        </w:rPr>
        <w:t xml:space="preserve"> zum schlagkräftigen Kalkeinsatz </w:t>
      </w:r>
      <w:r w:rsidRPr="00780B70">
        <w:rPr>
          <w:rFonts w:ascii="Arial" w:eastAsia="Arial" w:hAnsi="Arial" w:cs="Arial"/>
          <w:b/>
          <w:bCs/>
        </w:rPr>
        <w:t>(rechts)</w:t>
      </w:r>
      <w:r w:rsidRPr="00780B70">
        <w:rPr>
          <w:rFonts w:ascii="Arial" w:eastAsia="Arial" w:hAnsi="Arial" w:cs="Arial"/>
        </w:rPr>
        <w:t xml:space="preserve"> sind nur wenige Bauteile zu wechseln.</w:t>
      </w:r>
    </w:p>
    <w:p w14:paraId="584C6434" w14:textId="77777777" w:rsidR="00780B70" w:rsidRDefault="00780B70" w:rsidP="00161FDD">
      <w:pPr>
        <w:spacing w:after="120" w:line="360" w:lineRule="auto"/>
        <w:ind w:left="567" w:right="1695"/>
        <w:rPr>
          <w:rFonts w:ascii="Arial" w:eastAsia="Arial" w:hAnsi="Arial" w:cs="Arial"/>
        </w:rPr>
      </w:pPr>
    </w:p>
    <w:p w14:paraId="5517CACF" w14:textId="77777777" w:rsidR="00780B70" w:rsidRDefault="00780B70" w:rsidP="00161FDD">
      <w:pPr>
        <w:spacing w:after="120" w:line="360" w:lineRule="auto"/>
        <w:ind w:left="567" w:right="1695"/>
        <w:rPr>
          <w:rFonts w:ascii="Arial" w:eastAsia="Arial" w:hAnsi="Arial" w:cs="Arial"/>
        </w:rPr>
      </w:pPr>
    </w:p>
    <w:p w14:paraId="5C04DF1B" w14:textId="24F6E6B7" w:rsidR="00780B70" w:rsidRDefault="00780B70"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EFDBFF1" wp14:editId="1CCEC19B">
            <wp:extent cx="6120000" cy="2109600"/>
            <wp:effectExtent l="0" t="0" r="1905" b="0"/>
            <wp:docPr id="58695526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955260" name="Grafik 58695526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3A5EADE"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Das Zusammenspiel von Bandboden und Doppelschieber ermöglicht eine exakte seitenunabhängige Dosierung. Das zapfwellenbetriebene TS-Streuwerk garantiert präzise Streubilder bei Arbeitsbreiten bis zu 54 m. </w:t>
      </w:r>
    </w:p>
    <w:p w14:paraId="2FCAAB4B" w14:textId="77777777" w:rsidR="00780B70" w:rsidRDefault="00780B70" w:rsidP="00161FDD">
      <w:pPr>
        <w:spacing w:after="120" w:line="360" w:lineRule="auto"/>
        <w:ind w:left="567" w:right="1695"/>
        <w:rPr>
          <w:rFonts w:ascii="Arial" w:eastAsia="Arial" w:hAnsi="Arial" w:cs="Arial"/>
        </w:rPr>
      </w:pPr>
    </w:p>
    <w:p w14:paraId="3AF7F80F" w14:textId="77777777" w:rsidR="00780B70" w:rsidRDefault="00780B70" w:rsidP="00161FDD">
      <w:pPr>
        <w:spacing w:after="120" w:line="360" w:lineRule="auto"/>
        <w:ind w:left="567" w:right="1695"/>
        <w:rPr>
          <w:rFonts w:ascii="Arial" w:eastAsia="Arial" w:hAnsi="Arial" w:cs="Arial"/>
        </w:rPr>
      </w:pPr>
    </w:p>
    <w:p w14:paraId="4422F850" w14:textId="2E3DA23E" w:rsidR="00780B70" w:rsidRDefault="00780B70"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D85FD9E" wp14:editId="481305B5">
            <wp:extent cx="4622400" cy="2880000"/>
            <wp:effectExtent l="0" t="0" r="635" b="3175"/>
            <wp:docPr id="173278911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789112" name="Grafik 173278911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22400" cy="2880000"/>
                    </a:xfrm>
                    <a:prstGeom prst="rect">
                      <a:avLst/>
                    </a:prstGeom>
                  </pic:spPr>
                </pic:pic>
              </a:graphicData>
            </a:graphic>
          </wp:inline>
        </w:drawing>
      </w:r>
    </w:p>
    <w:p w14:paraId="1C030A39"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ZG-TX 6800 Special</w:t>
      </w:r>
    </w:p>
    <w:p w14:paraId="744FFCE0" w14:textId="77777777" w:rsidR="00780B70" w:rsidRDefault="00780B70" w:rsidP="00161FDD">
      <w:pPr>
        <w:spacing w:after="120" w:line="360" w:lineRule="auto"/>
        <w:ind w:left="567" w:right="1695"/>
        <w:rPr>
          <w:rFonts w:ascii="Arial" w:eastAsia="Arial" w:hAnsi="Arial" w:cs="Arial"/>
        </w:rPr>
      </w:pPr>
    </w:p>
    <w:p w14:paraId="5041DB27" w14:textId="77777777" w:rsidR="00780B70" w:rsidRDefault="00780B70" w:rsidP="00161FDD">
      <w:pPr>
        <w:spacing w:after="120" w:line="360" w:lineRule="auto"/>
        <w:ind w:left="567" w:right="1695"/>
        <w:rPr>
          <w:rFonts w:ascii="Arial" w:eastAsia="Arial" w:hAnsi="Arial" w:cs="Arial"/>
        </w:rPr>
      </w:pPr>
    </w:p>
    <w:p w14:paraId="41A458FF" w14:textId="016020F9" w:rsidR="00780B70" w:rsidRDefault="00780B70"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FDDAA86" wp14:editId="70174731">
            <wp:extent cx="4676400" cy="2880000"/>
            <wp:effectExtent l="0" t="0" r="0" b="3175"/>
            <wp:docPr id="6527801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78017" name="Grafik 6527801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76400" cy="2880000"/>
                    </a:xfrm>
                    <a:prstGeom prst="rect">
                      <a:avLst/>
                    </a:prstGeom>
                  </pic:spPr>
                </pic:pic>
              </a:graphicData>
            </a:graphic>
          </wp:inline>
        </w:drawing>
      </w:r>
    </w:p>
    <w:p w14:paraId="0217FFA3"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ZG-TX 11200 Super</w:t>
      </w:r>
    </w:p>
    <w:p w14:paraId="48022D5F" w14:textId="77777777" w:rsidR="00780B70" w:rsidRDefault="00780B70" w:rsidP="00161FDD">
      <w:pPr>
        <w:spacing w:after="120" w:line="360" w:lineRule="auto"/>
        <w:ind w:left="567" w:right="1695"/>
        <w:rPr>
          <w:rFonts w:ascii="Arial" w:eastAsia="Arial" w:hAnsi="Arial" w:cs="Arial"/>
        </w:rPr>
      </w:pPr>
    </w:p>
    <w:p w14:paraId="4F31F26F" w14:textId="77777777" w:rsidR="00780B70" w:rsidRDefault="00780B70" w:rsidP="00161FDD">
      <w:pPr>
        <w:spacing w:after="120" w:line="360" w:lineRule="auto"/>
        <w:ind w:left="567" w:right="1695"/>
        <w:rPr>
          <w:rFonts w:ascii="Arial" w:eastAsia="Arial" w:hAnsi="Arial" w:cs="Arial"/>
        </w:rPr>
      </w:pPr>
    </w:p>
    <w:p w14:paraId="71B323AF" w14:textId="77777777" w:rsidR="00780B70" w:rsidRDefault="00780B70" w:rsidP="00161FDD">
      <w:pPr>
        <w:spacing w:after="120" w:line="360" w:lineRule="auto"/>
        <w:ind w:left="567" w:right="1695"/>
        <w:rPr>
          <w:rFonts w:ascii="Arial" w:eastAsia="Arial" w:hAnsi="Arial" w:cs="Arial"/>
        </w:rPr>
      </w:pPr>
    </w:p>
    <w:p w14:paraId="6E3595D9" w14:textId="58AFE313" w:rsidR="00780B70" w:rsidRDefault="00780B70"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EA73BA6" wp14:editId="4529CFD7">
            <wp:extent cx="4053600" cy="2880000"/>
            <wp:effectExtent l="0" t="0" r="0" b="3175"/>
            <wp:docPr id="61126839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268397" name="Grafik 61126839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AD7596A"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 xml:space="preserve">Einfache Bedienung mit maschinenspezifischem Bediencomputer </w:t>
      </w:r>
      <w:proofErr w:type="spellStart"/>
      <w:r w:rsidRPr="00780B70">
        <w:rPr>
          <w:rFonts w:ascii="Arial" w:eastAsia="Arial" w:hAnsi="Arial" w:cs="Arial"/>
        </w:rPr>
        <w:t>EasySet</w:t>
      </w:r>
      <w:proofErr w:type="spellEnd"/>
      <w:r w:rsidRPr="00780B70">
        <w:rPr>
          <w:rFonts w:ascii="Arial" w:eastAsia="Arial" w:hAnsi="Arial" w:cs="Arial"/>
        </w:rPr>
        <w:t xml:space="preserve"> 2</w:t>
      </w:r>
    </w:p>
    <w:p w14:paraId="3303ABC5" w14:textId="77777777" w:rsidR="00780B70" w:rsidRDefault="00780B70" w:rsidP="00161FDD">
      <w:pPr>
        <w:spacing w:after="120" w:line="360" w:lineRule="auto"/>
        <w:ind w:left="567" w:right="1695"/>
        <w:rPr>
          <w:rFonts w:ascii="Arial" w:eastAsia="Arial" w:hAnsi="Arial" w:cs="Arial"/>
        </w:rPr>
      </w:pPr>
    </w:p>
    <w:p w14:paraId="2A6FF571" w14:textId="77777777" w:rsidR="00780B70" w:rsidRDefault="00780B70" w:rsidP="00161FDD">
      <w:pPr>
        <w:spacing w:after="120" w:line="360" w:lineRule="auto"/>
        <w:ind w:left="567" w:right="1695"/>
        <w:rPr>
          <w:rFonts w:ascii="Arial" w:eastAsia="Arial" w:hAnsi="Arial" w:cs="Arial"/>
        </w:rPr>
      </w:pPr>
    </w:p>
    <w:p w14:paraId="21151412" w14:textId="173D1CAB" w:rsidR="00780B70" w:rsidRDefault="00780B70"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E81831F" wp14:editId="1BDB3FC3">
            <wp:extent cx="4053600" cy="2880000"/>
            <wp:effectExtent l="0" t="0" r="0" b="3175"/>
            <wp:docPr id="172959213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592136" name="Grafik 172959213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6537B36"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Intuitive Bedienung mit neuer ISOBUS-Software</w:t>
      </w:r>
    </w:p>
    <w:p w14:paraId="1389BBC4" w14:textId="77777777" w:rsidR="00780B70" w:rsidRDefault="00780B70" w:rsidP="00161FDD">
      <w:pPr>
        <w:spacing w:after="120" w:line="360" w:lineRule="auto"/>
        <w:ind w:left="567" w:right="1695"/>
        <w:rPr>
          <w:rFonts w:ascii="Arial" w:eastAsia="Arial" w:hAnsi="Arial" w:cs="Arial"/>
        </w:rPr>
      </w:pPr>
    </w:p>
    <w:p w14:paraId="7A86EF54" w14:textId="77777777" w:rsidR="00780B70" w:rsidRDefault="00780B70" w:rsidP="00161FDD">
      <w:pPr>
        <w:spacing w:after="120" w:line="360" w:lineRule="auto"/>
        <w:ind w:left="567" w:right="1695"/>
        <w:rPr>
          <w:rFonts w:ascii="Arial" w:eastAsia="Arial" w:hAnsi="Arial" w:cs="Arial"/>
        </w:rPr>
      </w:pPr>
    </w:p>
    <w:p w14:paraId="637B653F" w14:textId="01579444" w:rsidR="00780B70" w:rsidRDefault="00780B70"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7DFA050" wp14:editId="270F9531">
            <wp:extent cx="3477600" cy="2880000"/>
            <wp:effectExtent l="0" t="0" r="2540" b="3175"/>
            <wp:docPr id="44187024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870249" name="Grafik 44187024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AF08816" w14:textId="77777777" w:rsidR="00780B70" w:rsidRPr="00780B70" w:rsidRDefault="00780B70" w:rsidP="00780B70">
      <w:pPr>
        <w:spacing w:after="120" w:line="360" w:lineRule="auto"/>
        <w:ind w:left="567" w:right="1695"/>
        <w:rPr>
          <w:rFonts w:ascii="Arial" w:eastAsia="Arial" w:hAnsi="Arial" w:cs="Arial"/>
        </w:rPr>
      </w:pPr>
      <w:r w:rsidRPr="00780B70">
        <w:rPr>
          <w:rFonts w:ascii="Arial" w:eastAsia="Arial" w:hAnsi="Arial" w:cs="Arial"/>
        </w:rPr>
        <w:t>ZG-TX 11200 Super: Schlagkräftiger Kalkeinsatz mit 17 t Nutzlast und bis zu 16 m Arbeitsbreite</w:t>
      </w:r>
    </w:p>
    <w:p w14:paraId="00D00F95" w14:textId="77777777" w:rsidR="00780B70" w:rsidRDefault="00780B70" w:rsidP="00161FDD">
      <w:pPr>
        <w:spacing w:after="120" w:line="360" w:lineRule="auto"/>
        <w:ind w:left="567" w:right="1695"/>
        <w:rPr>
          <w:rFonts w:ascii="Arial" w:eastAsia="Arial" w:hAnsi="Arial" w:cs="Arial"/>
        </w:rPr>
      </w:pPr>
    </w:p>
    <w:p w14:paraId="1B555D8D" w14:textId="77777777" w:rsidR="00780B70" w:rsidRDefault="00780B70" w:rsidP="00161FDD">
      <w:pPr>
        <w:spacing w:after="120" w:line="360" w:lineRule="auto"/>
        <w:ind w:left="567" w:right="1695"/>
        <w:rPr>
          <w:rFonts w:ascii="Arial" w:eastAsia="Arial" w:hAnsi="Arial" w:cs="Arial"/>
        </w:rPr>
      </w:pPr>
    </w:p>
    <w:p w14:paraId="19845BEA" w14:textId="77777777" w:rsidR="00780B70" w:rsidRDefault="00780B70" w:rsidP="00161FDD">
      <w:pPr>
        <w:spacing w:after="120" w:line="360" w:lineRule="auto"/>
        <w:ind w:left="567" w:right="1695"/>
        <w:rPr>
          <w:rFonts w:ascii="Arial" w:eastAsia="Arial" w:hAnsi="Arial" w:cs="Arial"/>
        </w:rPr>
      </w:pPr>
    </w:p>
    <w:p w14:paraId="0913D630" w14:textId="77777777" w:rsidR="00C46CAE" w:rsidRPr="00F4316E" w:rsidRDefault="00C46CAE"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8944CC" w14:textId="1CFF8234"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8E1AC7">
        <w:rPr>
          <w:rFonts w:ascii="Arial" w:hAnsi="Arial" w:cs="Arial"/>
          <w:bCs/>
          <w:color w:val="808080" w:themeColor="background1" w:themeShade="80"/>
          <w:sz w:val="20"/>
          <w:szCs w:val="20"/>
        </w:rPr>
        <w:t>über</w:t>
      </w:r>
      <w:r w:rsidR="008E1AC7"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21" w:history="1">
        <w:r w:rsidRPr="00047000">
          <w:rPr>
            <w:rStyle w:val="Hyperlink"/>
            <w:rFonts w:ascii="Arial" w:hAnsi="Arial" w:cs="Arial"/>
            <w:bCs/>
            <w:sz w:val="20"/>
            <w:szCs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1A965B0E">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026FEAFB">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3B929BCD">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04A7FC9C">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76F08840">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RPr="00C46CAE" w:rsidSect="007D56A1">
      <w:headerReference w:type="even" r:id="rId37"/>
      <w:headerReference w:type="default" r:id="rId38"/>
      <w:footerReference w:type="even" r:id="rId39"/>
      <w:footerReference w:type="default" r:id="rId40"/>
      <w:headerReference w:type="first" r:id="rId41"/>
      <w:footerReference w:type="first" r:id="rId4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79A44C" w14:textId="77777777" w:rsidR="00F306E7" w:rsidRDefault="00F306E7">
      <w:r>
        <w:separator/>
      </w:r>
    </w:p>
  </w:endnote>
  <w:endnote w:type="continuationSeparator" w:id="0">
    <w:p w14:paraId="32736741" w14:textId="77777777" w:rsidR="00F306E7" w:rsidRDefault="00F306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0768FC" w14:textId="77777777" w:rsidR="00F306E7" w:rsidRDefault="00F306E7">
      <w:r>
        <w:separator/>
      </w:r>
    </w:p>
  </w:footnote>
  <w:footnote w:type="continuationSeparator" w:id="0">
    <w:p w14:paraId="425E93E9" w14:textId="77777777" w:rsidR="00F306E7" w:rsidRDefault="00F306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2"/>
  </w:num>
  <w:num w:numId="6" w16cid:durableId="240917465">
    <w:abstractNumId w:val="1"/>
  </w:num>
  <w:num w:numId="7" w16cid:durableId="750658751">
    <w:abstractNumId w:val="12"/>
  </w:num>
  <w:num w:numId="8" w16cid:durableId="294531490">
    <w:abstractNumId w:val="11"/>
  </w:num>
  <w:num w:numId="9" w16cid:durableId="2071071478">
    <w:abstractNumId w:val="4"/>
  </w:num>
  <w:num w:numId="10" w16cid:durableId="136532471">
    <w:abstractNumId w:val="9"/>
  </w:num>
  <w:num w:numId="11" w16cid:durableId="2055814173">
    <w:abstractNumId w:val="10"/>
  </w:num>
  <w:num w:numId="12" w16cid:durableId="636498599">
    <w:abstractNumId w:val="13"/>
  </w:num>
  <w:num w:numId="13" w16cid:durableId="118423553">
    <w:abstractNumId w:val="18"/>
  </w:num>
  <w:num w:numId="14" w16cid:durableId="1499079657">
    <w:abstractNumId w:val="14"/>
  </w:num>
  <w:num w:numId="15" w16cid:durableId="556353878">
    <w:abstractNumId w:val="16"/>
  </w:num>
  <w:num w:numId="16" w16cid:durableId="1202472297">
    <w:abstractNumId w:val="3"/>
  </w:num>
  <w:num w:numId="17" w16cid:durableId="50662991">
    <w:abstractNumId w:val="15"/>
  </w:num>
  <w:num w:numId="18" w16cid:durableId="57364874">
    <w:abstractNumId w:val="17"/>
  </w:num>
  <w:num w:numId="19" w16cid:durableId="27009196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0C42"/>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1AC7"/>
    <w:rsid w:val="008E2078"/>
    <w:rsid w:val="008E229C"/>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3E17"/>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4D2F"/>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6E7"/>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oter" Target="footer1.xml"/><Relationship Id="rId21" Type="http://schemas.openxmlformats.org/officeDocument/2006/relationships/hyperlink" Target="http://www.amazone.de" TargetMode="External"/><Relationship Id="rId34" Type="http://schemas.openxmlformats.org/officeDocument/2006/relationships/hyperlink" Target="https://www.xing.com/company/amazone" TargetMode="External"/><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header" Target="header2.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1321</Words>
  <Characters>8325</Characters>
  <Application>Microsoft Office Word</Application>
  <DocSecurity>0</DocSecurity>
  <Lines>69</Lines>
  <Paragraphs>19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9627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2023-12-08T11:23:00Z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