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0EB85C5C" w:rsidR="00780B70" w:rsidRPr="00780B70" w:rsidRDefault="00780B70" w:rsidP="00780B70">
      <w:pPr>
        <w:spacing w:after="120" w:line="360" w:lineRule="auto"/>
        <w:ind w:left="567" w:right="1695"/>
        <w:rPr>
          <w:rFonts w:ascii="Arial" w:hAnsi="Arial" w:cs="Arial"/>
          <w:b/>
          <w:bCs/>
          <w:sz w:val="28"/>
          <w:szCs w:val="28"/>
        </w:rPr>
      </w:pPr>
      <w:r>
        <w:rPr>
          <w:rFonts w:ascii="Arial" w:hAnsi="Arial"/>
          <w:b/>
          <w:sz w:val="28"/>
        </w:rPr>
        <w:t>ZG-TX</w:t>
      </w:r>
      <w:r w:rsidR="00797A14">
        <w:rPr>
          <w:rFonts w:ascii="Arial" w:hAnsi="Arial"/>
          <w:b/>
          <w:sz w:val="28"/>
        </w:rPr>
        <w:t xml:space="preserve"> </w:t>
      </w:r>
      <w:r>
        <w:rPr>
          <w:rFonts w:ascii="Arial" w:hAnsi="Arial"/>
          <w:b/>
          <w:sz w:val="28"/>
        </w:rPr>
        <w:t>– Épandeur multiproduits sans aucun compromis</w:t>
      </w:r>
    </w:p>
    <w:p w14:paraId="1FF2836C" w14:textId="77777777" w:rsidR="00780B70" w:rsidRPr="00780B70" w:rsidRDefault="00780B70" w:rsidP="00780B70">
      <w:pPr>
        <w:spacing w:line="360" w:lineRule="auto"/>
        <w:ind w:left="567" w:right="1695"/>
        <w:rPr>
          <w:rFonts w:ascii="Arial" w:hAnsi="Arial" w:cs="Arial"/>
          <w:b/>
          <w:bCs/>
        </w:rPr>
      </w:pPr>
      <w:r>
        <w:rPr>
          <w:rFonts w:ascii="Arial" w:hAnsi="Arial"/>
          <w:b/>
        </w:rPr>
        <w:t>Flexible – Précis – Performant</w:t>
      </w:r>
    </w:p>
    <w:p w14:paraId="65EA582A" w14:textId="77777777" w:rsidR="00161FDD" w:rsidRDefault="00161FDD" w:rsidP="00161FDD">
      <w:pPr>
        <w:spacing w:line="360" w:lineRule="auto"/>
        <w:ind w:left="567" w:right="1695"/>
        <w:rPr>
          <w:rFonts w:ascii="Arial" w:hAnsi="Arial" w:cs="Arial"/>
        </w:rPr>
      </w:pPr>
    </w:p>
    <w:p w14:paraId="05E604BA" w14:textId="77777777" w:rsidR="00780B70" w:rsidRDefault="00780B70" w:rsidP="00780B70">
      <w:pPr>
        <w:spacing w:after="120" w:line="360" w:lineRule="auto"/>
        <w:ind w:left="567" w:right="1695"/>
        <w:rPr>
          <w:rFonts w:ascii="Arial" w:eastAsia="Arial" w:hAnsi="Arial" w:cs="Arial"/>
        </w:rPr>
      </w:pPr>
      <w:r>
        <w:rPr>
          <w:rFonts w:ascii="Arial" w:hAnsi="Arial"/>
        </w:rPr>
        <w:t xml:space="preserve">Avec le nouveau ZG-TX traîné, AMAZONE définit de nouvelles références dans le domaine des épandeurs multiproduits. Grâce à une simple modification entre le système d'épandage TS et le nouveau système d'épandage pour la chaux, il est possible d'épandre avec une seule machine et avec précision, aussi bien des engrais minéraux que des amendements organiques lourds et humides </w:t>
      </w:r>
      <w:proofErr w:type="gramStart"/>
      <w:r>
        <w:rPr>
          <w:rFonts w:ascii="Arial" w:hAnsi="Arial"/>
        </w:rPr>
        <w:t>type</w:t>
      </w:r>
      <w:proofErr w:type="gramEnd"/>
      <w:r>
        <w:rPr>
          <w:rFonts w:ascii="Arial" w:hAnsi="Arial"/>
        </w:rPr>
        <w:t xml:space="preserve"> bouchons/pellets, chaux, vrac humide. Le ZG-TX associe ainsi les avantages du système d'épandage TS avec </w:t>
      </w:r>
      <w:proofErr w:type="spellStart"/>
      <w:r>
        <w:rPr>
          <w:rFonts w:ascii="Arial" w:hAnsi="Arial"/>
        </w:rPr>
        <w:t>AutoTS</w:t>
      </w:r>
      <w:proofErr w:type="spellEnd"/>
      <w:r>
        <w:rPr>
          <w:rFonts w:ascii="Arial" w:hAnsi="Arial"/>
        </w:rPr>
        <w:t xml:space="preserve"> intégré dans le disque pour des résultats d’épandage de bordure, avec un rendement maximal pour les amendements organiques. Avec le châssis </w:t>
      </w:r>
      <w:proofErr w:type="spellStart"/>
      <w:r>
        <w:rPr>
          <w:rFonts w:ascii="Arial" w:hAnsi="Arial"/>
        </w:rPr>
        <w:t>Special</w:t>
      </w:r>
      <w:proofErr w:type="spellEnd"/>
      <w:r>
        <w:rPr>
          <w:rFonts w:ascii="Arial" w:hAnsi="Arial"/>
        </w:rPr>
        <w:t xml:space="preserve"> simple et le châssis Super renforcé, AMAZONE propose pour chacun la machine adéquate.</w:t>
      </w:r>
    </w:p>
    <w:p w14:paraId="74BCA08B" w14:textId="77777777" w:rsidR="00780B70" w:rsidRPr="00780B70" w:rsidRDefault="00780B70" w:rsidP="00780B70">
      <w:pPr>
        <w:spacing w:after="120" w:line="360" w:lineRule="auto"/>
        <w:ind w:left="567" w:right="1695"/>
        <w:rPr>
          <w:rFonts w:ascii="Arial" w:eastAsia="Arial" w:hAnsi="Arial" w:cs="Arial"/>
        </w:rPr>
      </w:pPr>
    </w:p>
    <w:p w14:paraId="6F55F012" w14:textId="310C14EA" w:rsidR="00780B70" w:rsidRPr="00780B70" w:rsidRDefault="00780B70" w:rsidP="00780B70">
      <w:pPr>
        <w:spacing w:after="120" w:line="360" w:lineRule="auto"/>
        <w:ind w:left="567" w:right="1695"/>
        <w:rPr>
          <w:rFonts w:ascii="Arial" w:eastAsia="Arial" w:hAnsi="Arial" w:cs="Arial"/>
          <w:b/>
          <w:bCs/>
        </w:rPr>
      </w:pPr>
      <w:r>
        <w:rPr>
          <w:rFonts w:ascii="Arial" w:hAnsi="Arial"/>
          <w:b/>
        </w:rPr>
        <w:t>L’épandeur de précision dans sa catégorie – La précision d’épandage en ligne de mire</w:t>
      </w:r>
    </w:p>
    <w:p w14:paraId="4EE7C631"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Jusqu’à présent, le terme épandeur traîné décrivait des machines à fond mouvant qui dosent sur 2 disques, soit de l’engrais minéral, soit des </w:t>
      </w:r>
      <w:proofErr w:type="gramStart"/>
      <w:r>
        <w:rPr>
          <w:rFonts w:ascii="Arial" w:hAnsi="Arial"/>
        </w:rPr>
        <w:t>amendements</w:t>
      </w:r>
      <w:proofErr w:type="gramEnd"/>
      <w:r>
        <w:rPr>
          <w:rFonts w:ascii="Arial" w:hAnsi="Arial"/>
        </w:rPr>
        <w:t xml:space="preserve"> organiques spécifiques lourds et humides. Cependant les exigences en termes de précision augmentent aussi sur ce segment de produit tout particulièrement pour la partie organique. Face à ce constat, AMAZONE s'engage dans de nouvelles voies en matière de dosage d'engrais et combine la précision du système d’épandage TS. Le résultat est nouveau à bien des égards.</w:t>
      </w:r>
    </w:p>
    <w:p w14:paraId="2CAB361F" w14:textId="77777777" w:rsidR="00780B70" w:rsidRPr="00780B70" w:rsidRDefault="00780B70" w:rsidP="00780B70">
      <w:pPr>
        <w:spacing w:after="120" w:line="360" w:lineRule="auto"/>
        <w:ind w:left="567" w:right="1695"/>
        <w:rPr>
          <w:rFonts w:ascii="Arial" w:eastAsia="Arial" w:hAnsi="Arial" w:cs="Arial"/>
        </w:rPr>
      </w:pPr>
    </w:p>
    <w:p w14:paraId="3F480174" w14:textId="77777777" w:rsidR="00780B70" w:rsidRDefault="00780B70" w:rsidP="00780B70">
      <w:pPr>
        <w:spacing w:after="120" w:line="360" w:lineRule="auto"/>
        <w:ind w:left="567" w:right="1695"/>
        <w:rPr>
          <w:rFonts w:ascii="Arial" w:hAnsi="Arial"/>
        </w:rPr>
      </w:pPr>
      <w:r>
        <w:rPr>
          <w:rFonts w:ascii="Arial" w:hAnsi="Arial"/>
        </w:rPr>
        <w:t xml:space="preserve">A la place d’une simple trappe, via laquelle le produit épandu est dosé sur le disque, un réglage du point d’alimentation est intégré sur le ZG-TX. La précision des fonctionnalités, telles que </w:t>
      </w:r>
      <w:proofErr w:type="spellStart"/>
      <w:r>
        <w:rPr>
          <w:rFonts w:ascii="Arial" w:hAnsi="Arial"/>
        </w:rPr>
        <w:t>HeadlandControl</w:t>
      </w:r>
      <w:proofErr w:type="spellEnd"/>
      <w:r>
        <w:rPr>
          <w:rFonts w:ascii="Arial" w:hAnsi="Arial"/>
        </w:rPr>
        <w:t xml:space="preserve"> et Section Control, est ainsi optimisée. Le système d’épandage bien connu des épandeurs TS réalise ainsi des nappes d’épandage précises, jusqu’à une largeur de travail de 54 m. Associée à la mesure de couple </w:t>
      </w:r>
      <w:proofErr w:type="spellStart"/>
      <w:r>
        <w:rPr>
          <w:rFonts w:ascii="Arial" w:hAnsi="Arial"/>
        </w:rPr>
        <w:t>FlowControl</w:t>
      </w:r>
      <w:proofErr w:type="spellEnd"/>
      <w:r>
        <w:rPr>
          <w:rFonts w:ascii="Arial" w:hAnsi="Arial"/>
        </w:rPr>
        <w:t xml:space="preserve">, disponible en option, une </w:t>
      </w:r>
      <w:r>
        <w:rPr>
          <w:rFonts w:ascii="Arial" w:hAnsi="Arial"/>
        </w:rPr>
        <w:lastRenderedPageBreak/>
        <w:t xml:space="preserve">régulation précise du débit est garantie dès la première seconde. Ainsi l’engrais est dosé avec précision, grâce à l’interaction pilotée entre la double trappe électrique et la vitesse du fond mouvant. Cet avantage est aussi efficace d’un côté que de l’autre, même en cas d’utilisation de cartes de modulation. </w:t>
      </w:r>
    </w:p>
    <w:p w14:paraId="09575E94" w14:textId="77777777" w:rsidR="002A75EE" w:rsidRPr="00780B70" w:rsidRDefault="002A75EE" w:rsidP="00780B70">
      <w:pPr>
        <w:spacing w:after="120" w:line="360" w:lineRule="auto"/>
        <w:ind w:left="567" w:right="1695"/>
        <w:rPr>
          <w:rFonts w:ascii="Arial" w:eastAsia="Arial" w:hAnsi="Arial" w:cs="Arial"/>
        </w:rPr>
      </w:pPr>
    </w:p>
    <w:p w14:paraId="486C8FD7"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Épandage parfait en bordure</w:t>
      </w:r>
    </w:p>
    <w:p w14:paraId="07D6F6A3"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Le ZG-TX définit également de nouvelles références d’un point de vue de l’épandage en bordure. Le système de bordure </w:t>
      </w:r>
      <w:proofErr w:type="spellStart"/>
      <w:r>
        <w:rPr>
          <w:rFonts w:ascii="Arial" w:hAnsi="Arial"/>
        </w:rPr>
        <w:t>AutoTS</w:t>
      </w:r>
      <w:proofErr w:type="spellEnd"/>
      <w:r>
        <w:rPr>
          <w:rFonts w:ascii="Arial" w:hAnsi="Arial"/>
        </w:rPr>
        <w:t xml:space="preserve"> est intégré dans le disque et monté avec le système d’épandage TS côté droit. Ainsi, des résultats d’épandage en bordure précis sont garantis, même sur des grandes largeurs de travail. Si jusqu’à présent le système était réservé aux épandeurs de précision ZA-TS et ZG-TS, il est désormais également utilisé sur le ZG-TX. Il est ainsi possible d'obtenir jusqu'à 17 % de rendement supplémentaire par rapport aux systèmes de bordure traditionnels. L’utilisation d’un tel système de bordure dans le secteur des épandeurs traînés est unique en son genre. </w:t>
      </w:r>
    </w:p>
    <w:p w14:paraId="5CC08249" w14:textId="77777777" w:rsidR="00780B70" w:rsidRPr="00780B70" w:rsidRDefault="00780B70" w:rsidP="00780B70">
      <w:pPr>
        <w:spacing w:after="120" w:line="360" w:lineRule="auto"/>
        <w:ind w:left="567" w:right="1695"/>
        <w:rPr>
          <w:rFonts w:ascii="Arial" w:eastAsia="Arial" w:hAnsi="Arial" w:cs="Arial"/>
        </w:rPr>
      </w:pPr>
    </w:p>
    <w:p w14:paraId="605317C3"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Double avantage – amendements organiques et engrais minéraux répartis de manière optimale</w:t>
      </w:r>
    </w:p>
    <w:p w14:paraId="6EC38D99" w14:textId="77777777" w:rsidR="00780B70" w:rsidRDefault="00780B70" w:rsidP="00780B70">
      <w:pPr>
        <w:spacing w:after="120" w:line="360" w:lineRule="auto"/>
        <w:ind w:left="567" w:right="1695"/>
        <w:rPr>
          <w:rFonts w:ascii="Arial" w:eastAsia="Arial" w:hAnsi="Arial" w:cs="Arial"/>
        </w:rPr>
      </w:pPr>
      <w:r>
        <w:rPr>
          <w:rFonts w:ascii="Arial" w:hAnsi="Arial"/>
        </w:rPr>
        <w:t xml:space="preserve">Le ZG-TX se démarque par sa facilité pour passer d’un équipement à l’autre à savoir du mode « amendement organique » au mode « engrais minéraux ». Seuls quelques éléments sont à intervertir. Il s’agit notamment des disques d’épandage, de la tôle </w:t>
      </w:r>
      <w:proofErr w:type="spellStart"/>
      <w:r>
        <w:rPr>
          <w:rFonts w:ascii="Arial" w:hAnsi="Arial"/>
        </w:rPr>
        <w:t>anti-projection</w:t>
      </w:r>
      <w:proofErr w:type="spellEnd"/>
      <w:r>
        <w:rPr>
          <w:rFonts w:ascii="Arial" w:hAnsi="Arial"/>
        </w:rPr>
        <w:t xml:space="preserve"> et du système d’alimentation des disques. Grâce au logiciel, le terminal reconnaît l’équipement en place sur la machine. De fait, l’épandeur multiproduits est complètement modifié en 25 minutes, pour ensuite épandre plutôt des éléments organiques ou plutôt des engrais minéraux. </w:t>
      </w:r>
    </w:p>
    <w:p w14:paraId="62E088FB" w14:textId="77777777" w:rsidR="00780B70" w:rsidRDefault="00780B70" w:rsidP="00780B70">
      <w:pPr>
        <w:spacing w:after="120" w:line="360" w:lineRule="auto"/>
        <w:ind w:left="567" w:right="1695"/>
        <w:rPr>
          <w:rFonts w:ascii="Arial" w:eastAsia="Arial" w:hAnsi="Arial" w:cs="Arial"/>
        </w:rPr>
      </w:pPr>
    </w:p>
    <w:p w14:paraId="1F48A31E" w14:textId="77777777" w:rsidR="002A75EE" w:rsidRDefault="002A75EE" w:rsidP="00780B70">
      <w:pPr>
        <w:spacing w:after="120" w:line="360" w:lineRule="auto"/>
        <w:ind w:left="567" w:right="1695"/>
        <w:rPr>
          <w:rFonts w:ascii="Arial" w:eastAsia="Arial" w:hAnsi="Arial" w:cs="Arial"/>
        </w:rPr>
      </w:pPr>
    </w:p>
    <w:p w14:paraId="4B421841" w14:textId="77777777" w:rsidR="002A75EE" w:rsidRPr="00780B70" w:rsidRDefault="002A75EE" w:rsidP="00780B70">
      <w:pPr>
        <w:spacing w:after="120" w:line="360" w:lineRule="auto"/>
        <w:ind w:left="567" w:right="1695"/>
        <w:rPr>
          <w:rFonts w:ascii="Arial" w:eastAsia="Arial" w:hAnsi="Arial" w:cs="Arial"/>
        </w:rPr>
      </w:pPr>
    </w:p>
    <w:p w14:paraId="5F1C06CA" w14:textId="5AF3E504" w:rsidR="00780B70" w:rsidRPr="00780B70" w:rsidRDefault="00780B70" w:rsidP="00780B70">
      <w:pPr>
        <w:spacing w:after="120" w:line="360" w:lineRule="auto"/>
        <w:ind w:left="567" w:right="1695"/>
        <w:rPr>
          <w:rFonts w:ascii="Arial" w:eastAsia="Arial" w:hAnsi="Arial" w:cs="Arial"/>
          <w:b/>
          <w:bCs/>
        </w:rPr>
      </w:pPr>
      <w:r>
        <w:rPr>
          <w:rFonts w:ascii="Arial" w:hAnsi="Arial"/>
          <w:b/>
        </w:rPr>
        <w:lastRenderedPageBreak/>
        <w:t>Épandeur performant aux caractéristiques novatrices – Aucun compromis pour une utilisation performante sur le terrain</w:t>
      </w:r>
    </w:p>
    <w:p w14:paraId="513D55EA" w14:textId="77777777" w:rsidR="00780B70" w:rsidRPr="00780B70" w:rsidRDefault="00780B70" w:rsidP="00780B70">
      <w:pPr>
        <w:spacing w:after="120" w:line="360" w:lineRule="auto"/>
        <w:ind w:left="567" w:right="1695"/>
        <w:rPr>
          <w:rFonts w:ascii="Arial" w:eastAsia="Arial" w:hAnsi="Arial" w:cs="Arial"/>
        </w:rPr>
      </w:pPr>
      <w:r>
        <w:rPr>
          <w:rFonts w:ascii="Arial" w:hAnsi="Arial"/>
        </w:rPr>
        <w:t>La construction du ZG-TX Super place le centre de gravité de sorte à maximiser la capacité de charge. La répartition des charges avec le positionnement de l’essieu permet d’optimiser la charge admissible. Les parois verticales de la trémie assurent un glissement des produits lourds, même humides, avec une chaîne racleuse disponible en option, garantissant ensuite un flux régulier vers le système d'épandage.</w:t>
      </w:r>
    </w:p>
    <w:p w14:paraId="3915C661" w14:textId="77777777" w:rsidR="00780B70" w:rsidRPr="00780B70" w:rsidRDefault="00780B70" w:rsidP="00780B70">
      <w:pPr>
        <w:spacing w:after="120" w:line="360" w:lineRule="auto"/>
        <w:ind w:left="567" w:right="1695"/>
        <w:rPr>
          <w:rFonts w:ascii="Arial" w:eastAsia="Arial" w:hAnsi="Arial" w:cs="Arial"/>
        </w:rPr>
      </w:pPr>
    </w:p>
    <w:p w14:paraId="13683EF3" w14:textId="77777777" w:rsidR="00780B70" w:rsidRDefault="00780B70" w:rsidP="00780B70">
      <w:pPr>
        <w:spacing w:after="120" w:line="360" w:lineRule="auto"/>
        <w:ind w:left="567" w:right="1695"/>
        <w:rPr>
          <w:rFonts w:ascii="Arial" w:eastAsia="Arial" w:hAnsi="Arial" w:cs="Arial"/>
        </w:rPr>
      </w:pPr>
      <w:r>
        <w:rPr>
          <w:rFonts w:ascii="Arial" w:hAnsi="Arial"/>
        </w:rPr>
        <w:t>Le nouveau système d’épandage offre des débits de chantier énormes. Les amendements organiques sont parfaitement répartis sur des largeurs de travail jusqu’à 16 m.</w:t>
      </w:r>
    </w:p>
    <w:p w14:paraId="44712DD6" w14:textId="77777777" w:rsidR="00780B70" w:rsidRPr="00780B70" w:rsidRDefault="00780B70" w:rsidP="00780B70">
      <w:pPr>
        <w:spacing w:after="120" w:line="360" w:lineRule="auto"/>
        <w:ind w:left="567" w:right="1695"/>
        <w:rPr>
          <w:rFonts w:ascii="Arial" w:eastAsia="Arial" w:hAnsi="Arial" w:cs="Arial"/>
        </w:rPr>
      </w:pPr>
    </w:p>
    <w:p w14:paraId="21439D3D"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Nouvelle conception de l’épandage</w:t>
      </w:r>
    </w:p>
    <w:p w14:paraId="39F3E00A" w14:textId="77777777" w:rsidR="00780B70" w:rsidRPr="00780B70" w:rsidRDefault="00780B70" w:rsidP="00780B70">
      <w:pPr>
        <w:spacing w:after="120" w:line="360" w:lineRule="auto"/>
        <w:ind w:left="567" w:right="1695"/>
        <w:rPr>
          <w:rFonts w:ascii="Arial" w:eastAsia="Arial" w:hAnsi="Arial" w:cs="Arial"/>
        </w:rPr>
      </w:pPr>
      <w:r>
        <w:rPr>
          <w:rFonts w:ascii="Arial" w:hAnsi="Arial"/>
        </w:rPr>
        <w:t>En plus d’assurer l’épandage de produits lourds et humides type bouchons/pellets, chaux, vrac humide, la précision était également au centre des préoccupations de la conception. Ainsi une trappe de réduction disponible en option permet un épandage précis de petites quantités de produits, inférieures à 1 t/ha. Pour la première fois, le modèle d’épandage est ainsi optimisé par une simple correction du point d’alimentation.</w:t>
      </w:r>
    </w:p>
    <w:p w14:paraId="5BE69FEB" w14:textId="77777777" w:rsidR="00780B70" w:rsidRPr="00780B70" w:rsidRDefault="00780B70" w:rsidP="00780B70">
      <w:pPr>
        <w:spacing w:after="120" w:line="360" w:lineRule="auto"/>
        <w:ind w:left="567" w:right="1695"/>
        <w:rPr>
          <w:rFonts w:ascii="Arial" w:eastAsia="Arial" w:hAnsi="Arial" w:cs="Arial"/>
        </w:rPr>
      </w:pPr>
    </w:p>
    <w:p w14:paraId="3991F4BB" w14:textId="77777777" w:rsidR="00780B70" w:rsidRPr="00780B70" w:rsidRDefault="00780B70" w:rsidP="00780B70">
      <w:pPr>
        <w:spacing w:after="120" w:line="360" w:lineRule="auto"/>
        <w:ind w:left="567" w:right="1695"/>
        <w:rPr>
          <w:rFonts w:ascii="Arial" w:eastAsia="Arial" w:hAnsi="Arial" w:cs="Arial"/>
        </w:rPr>
      </w:pPr>
      <w:r>
        <w:rPr>
          <w:rFonts w:ascii="Arial" w:hAnsi="Arial"/>
        </w:rPr>
        <w:t>Dernière nouveauté, AMAZONE propose également, pour ces épandeurs multiproduits, un déflecteur de bordure. L’épandage peut ainsi être réalisé avec précision le long des bordures de champ et des fossés.</w:t>
      </w:r>
    </w:p>
    <w:p w14:paraId="2F66752A" w14:textId="77777777" w:rsidR="00780B70" w:rsidRPr="00780B70" w:rsidRDefault="00780B70" w:rsidP="00780B70">
      <w:pPr>
        <w:spacing w:after="120" w:line="360" w:lineRule="auto"/>
        <w:ind w:left="567" w:right="1695"/>
        <w:rPr>
          <w:rFonts w:ascii="Arial" w:eastAsia="Arial" w:hAnsi="Arial" w:cs="Arial"/>
          <w:b/>
          <w:bCs/>
        </w:rPr>
      </w:pPr>
    </w:p>
    <w:p w14:paraId="08A98DD3"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La machine adéquate pour répondre à toutes les exigences</w:t>
      </w:r>
    </w:p>
    <w:p w14:paraId="6BB288A7"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Les différentes variantes d’équipements de l’épandeur traîné multiproduits ZG-TX dépendent de l’utilisation pour les grandes exploitations agricoles, les entrepreneurs de travaux agricoles ou encore les entreprises de prestations de </w:t>
      </w:r>
      <w:r>
        <w:rPr>
          <w:rFonts w:ascii="Arial" w:hAnsi="Arial"/>
        </w:rPr>
        <w:lastRenderedPageBreak/>
        <w:t xml:space="preserve">services. La variante de châssis </w:t>
      </w:r>
      <w:proofErr w:type="spellStart"/>
      <w:r>
        <w:rPr>
          <w:rFonts w:ascii="Arial" w:hAnsi="Arial"/>
        </w:rPr>
        <w:t>Special</w:t>
      </w:r>
      <w:proofErr w:type="spellEnd"/>
      <w:r>
        <w:rPr>
          <w:rFonts w:ascii="Arial" w:hAnsi="Arial"/>
        </w:rPr>
        <w:t xml:space="preserve"> affiche une capacité de trémie de 6.800 l et 9.000 l et jusqu’à 11.200 l pour la variante de châssis Super. </w:t>
      </w:r>
    </w:p>
    <w:p w14:paraId="3B3166EE" w14:textId="77777777" w:rsidR="00780B70" w:rsidRPr="00780B70" w:rsidRDefault="00780B70" w:rsidP="00780B70">
      <w:pPr>
        <w:spacing w:after="120" w:line="360" w:lineRule="auto"/>
        <w:ind w:left="567" w:right="1695"/>
        <w:rPr>
          <w:rFonts w:ascii="Arial" w:eastAsia="Arial" w:hAnsi="Arial" w:cs="Arial"/>
        </w:rPr>
      </w:pPr>
    </w:p>
    <w:p w14:paraId="71468077"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Alors que le ZG-TX Super est équipé en standard d’un attelage en position basse, le ZG-TX </w:t>
      </w:r>
      <w:proofErr w:type="spellStart"/>
      <w:r>
        <w:rPr>
          <w:rFonts w:ascii="Arial" w:hAnsi="Arial"/>
        </w:rPr>
        <w:t>Special</w:t>
      </w:r>
      <w:proofErr w:type="spellEnd"/>
      <w:r>
        <w:rPr>
          <w:rFonts w:ascii="Arial" w:hAnsi="Arial"/>
        </w:rPr>
        <w:t xml:space="preserve"> est livré au choix avec attelage en position haute ou basse.</w:t>
      </w:r>
    </w:p>
    <w:p w14:paraId="38BB446D" w14:textId="77777777" w:rsidR="00780B70" w:rsidRPr="00780B70" w:rsidRDefault="00780B70" w:rsidP="00780B70">
      <w:pPr>
        <w:spacing w:after="120" w:line="360" w:lineRule="auto"/>
        <w:ind w:left="567" w:right="1695"/>
        <w:rPr>
          <w:rFonts w:ascii="Arial" w:eastAsia="Arial" w:hAnsi="Arial" w:cs="Arial"/>
        </w:rPr>
      </w:pPr>
    </w:p>
    <w:p w14:paraId="033CD25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Le poids est réparti de façon homogène au sol grâce aux pneus AS de 2,05 m de haut ou aux larges roues de 750 mm de large. L’essieu suiveur en option, avec son angle de braquage jusqu'à 20 degrés, complète l’équipement. Les déplacements routiers sont sécurisés par le système de freinage pneumatique à double lignes et par l’éclairage à LED. </w:t>
      </w:r>
    </w:p>
    <w:p w14:paraId="4F5EAED8" w14:textId="77777777" w:rsidR="00780B70" w:rsidRPr="00780B70" w:rsidRDefault="00780B70" w:rsidP="00780B70">
      <w:pPr>
        <w:spacing w:after="120" w:line="360" w:lineRule="auto"/>
        <w:ind w:left="567" w:right="1695"/>
        <w:rPr>
          <w:rFonts w:ascii="Arial" w:eastAsia="Arial" w:hAnsi="Arial" w:cs="Arial"/>
        </w:rPr>
      </w:pPr>
    </w:p>
    <w:p w14:paraId="7E6680BD" w14:textId="77777777" w:rsidR="00780B70" w:rsidRDefault="00780B70" w:rsidP="00780B70">
      <w:pPr>
        <w:spacing w:after="120" w:line="360" w:lineRule="auto"/>
        <w:ind w:left="567" w:right="1695"/>
        <w:rPr>
          <w:rFonts w:ascii="Arial" w:eastAsia="Arial" w:hAnsi="Arial" w:cs="Arial"/>
        </w:rPr>
      </w:pPr>
      <w:r>
        <w:rPr>
          <w:rFonts w:ascii="Arial" w:hAnsi="Arial"/>
        </w:rPr>
        <w:t>Le fond mouvant, incliné de 5 degrés, permet un acheminement facilité des produits ainsi qu’une évacuation de l’arrière vers l’avant. Ce système garantit une répartition optimale des masses durant l’épandage. Un report de charge maximal sur le tracteur et des charges par essieu réduites sécurisent les déplacements dans les champs.</w:t>
      </w:r>
    </w:p>
    <w:p w14:paraId="062C1A1F" w14:textId="77777777" w:rsidR="00780B70" w:rsidRPr="00780B70" w:rsidRDefault="00780B70" w:rsidP="00780B70">
      <w:pPr>
        <w:spacing w:after="120" w:line="360" w:lineRule="auto"/>
        <w:ind w:left="567" w:right="1695"/>
        <w:rPr>
          <w:rFonts w:ascii="Arial" w:eastAsia="Arial" w:hAnsi="Arial" w:cs="Arial"/>
        </w:rPr>
      </w:pPr>
    </w:p>
    <w:p w14:paraId="3D65D58F"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 xml:space="preserve">Pilotage confortable avec </w:t>
      </w:r>
      <w:proofErr w:type="spellStart"/>
      <w:r>
        <w:rPr>
          <w:rFonts w:ascii="Arial" w:hAnsi="Arial"/>
          <w:b/>
        </w:rPr>
        <w:t>Easy</w:t>
      </w:r>
      <w:proofErr w:type="spellEnd"/>
      <w:r>
        <w:rPr>
          <w:rFonts w:ascii="Arial" w:hAnsi="Arial"/>
          <w:b/>
        </w:rPr>
        <w:t xml:space="preserve"> et ISOBUS</w:t>
      </w:r>
    </w:p>
    <w:p w14:paraId="06BEB561"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Les deux concepts de pilotage </w:t>
      </w:r>
      <w:proofErr w:type="spellStart"/>
      <w:r>
        <w:rPr>
          <w:rFonts w:ascii="Arial" w:hAnsi="Arial"/>
        </w:rPr>
        <w:t>Easy</w:t>
      </w:r>
      <w:proofErr w:type="spellEnd"/>
      <w:r>
        <w:rPr>
          <w:rFonts w:ascii="Arial" w:hAnsi="Arial"/>
        </w:rPr>
        <w:t xml:space="preserve"> et </w:t>
      </w:r>
      <w:proofErr w:type="spellStart"/>
      <w:r>
        <w:rPr>
          <w:rFonts w:ascii="Arial" w:hAnsi="Arial"/>
        </w:rPr>
        <w:t>Tronic</w:t>
      </w:r>
      <w:proofErr w:type="spellEnd"/>
      <w:r>
        <w:rPr>
          <w:rFonts w:ascii="Arial" w:hAnsi="Arial"/>
        </w:rPr>
        <w:t xml:space="preserve"> proposent pour chaque application le pilotage adéquat. Sur le ZG-TX </w:t>
      </w:r>
      <w:proofErr w:type="spellStart"/>
      <w:r>
        <w:rPr>
          <w:rFonts w:ascii="Arial" w:hAnsi="Arial"/>
        </w:rPr>
        <w:t>Tronic</w:t>
      </w:r>
      <w:proofErr w:type="spellEnd"/>
      <w:r>
        <w:rPr>
          <w:rFonts w:ascii="Arial" w:hAnsi="Arial"/>
        </w:rPr>
        <w:t xml:space="preserve">, la nouvelle commande ISOBUS intuitive ouvre à toutes les fonctionnalités de l’ISOBUS. En plus du Section Control, de l’application parcellaire spécifique et de la gestion de chantier, la commande est intégrée avec AUX-N dans le pilotage du tracteur. Jusqu’à 3 caméras permettent de visualiser en permanence l’environnement et la machine. Sur le ZG-TX également, le pack d’éclairage en option est intégré dans le logiciel. En interaction avec l'affichage numérique du niveau de remplissage, un clignotement signale le niveau de remplissage de la trémie et permet un chargement optimal. Ainsi, la commodité d’utilisation est assurée. </w:t>
      </w:r>
    </w:p>
    <w:p w14:paraId="5D410954" w14:textId="77777777" w:rsidR="00780B70" w:rsidRPr="00780B70" w:rsidRDefault="00780B70" w:rsidP="00780B70">
      <w:pPr>
        <w:spacing w:after="120" w:line="360" w:lineRule="auto"/>
        <w:ind w:left="567" w:right="1695"/>
        <w:rPr>
          <w:rFonts w:ascii="Arial" w:eastAsia="Arial" w:hAnsi="Arial" w:cs="Arial"/>
        </w:rPr>
      </w:pPr>
    </w:p>
    <w:p w14:paraId="230FB31C" w14:textId="77777777" w:rsidR="00780B70" w:rsidRDefault="00780B70" w:rsidP="00780B70">
      <w:pPr>
        <w:spacing w:after="120" w:line="360" w:lineRule="auto"/>
        <w:ind w:left="567" w:right="1695"/>
        <w:rPr>
          <w:rFonts w:ascii="Arial" w:eastAsia="Arial" w:hAnsi="Arial" w:cs="Arial"/>
        </w:rPr>
      </w:pPr>
      <w:r>
        <w:rPr>
          <w:rFonts w:ascii="Arial" w:hAnsi="Arial"/>
        </w:rPr>
        <w:t xml:space="preserve">Le terminal </w:t>
      </w:r>
      <w:proofErr w:type="spellStart"/>
      <w:r>
        <w:rPr>
          <w:rFonts w:ascii="Arial" w:hAnsi="Arial"/>
        </w:rPr>
        <w:t>EasySet</w:t>
      </w:r>
      <w:proofErr w:type="spellEnd"/>
      <w:r>
        <w:rPr>
          <w:rFonts w:ascii="Arial" w:hAnsi="Arial"/>
        </w:rPr>
        <w:t xml:space="preserve"> 2, spécifique à la machine, et également utilisé sur les épandeurs d’engrais ZA-X, ZA-M et ZA-V, garantit des commandes ultra faciles, quel que soit le tracteur. L'accent est mis ici sur une régulation simple de débit proportionnel à la vitesse d’avancement. Ainsi, pas besoin d ‘équipement spécifique sur les tracteurs.</w:t>
      </w:r>
    </w:p>
    <w:p w14:paraId="4F72BC30" w14:textId="77777777" w:rsidR="00780B70" w:rsidRPr="00780B70" w:rsidRDefault="00780B70" w:rsidP="00780B70">
      <w:pPr>
        <w:spacing w:after="120" w:line="360" w:lineRule="auto"/>
        <w:ind w:left="567" w:right="1695"/>
        <w:rPr>
          <w:rFonts w:ascii="Arial" w:eastAsia="Arial" w:hAnsi="Arial" w:cs="Arial"/>
        </w:rPr>
      </w:pPr>
    </w:p>
    <w:p w14:paraId="2C56F99D" w14:textId="77777777" w:rsidR="00780B70" w:rsidRPr="00780B70" w:rsidRDefault="00780B70" w:rsidP="00780B70">
      <w:pPr>
        <w:spacing w:after="120" w:line="360" w:lineRule="auto"/>
        <w:ind w:left="567" w:right="1695"/>
        <w:rPr>
          <w:rFonts w:ascii="Arial" w:eastAsia="Arial" w:hAnsi="Arial" w:cs="Arial"/>
          <w:b/>
          <w:bCs/>
        </w:rPr>
      </w:pPr>
      <w:r>
        <w:rPr>
          <w:rFonts w:ascii="Arial" w:hAnsi="Arial"/>
          <w:b/>
        </w:rPr>
        <w:t>Cultures homogènes en fourrière</w:t>
      </w:r>
    </w:p>
    <w:p w14:paraId="1FB2B79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Sur les machines ISOBUS, </w:t>
      </w:r>
      <w:proofErr w:type="spellStart"/>
      <w:r>
        <w:rPr>
          <w:rFonts w:ascii="Arial" w:hAnsi="Arial"/>
        </w:rPr>
        <w:t>HeadlandControl</w:t>
      </w:r>
      <w:proofErr w:type="spellEnd"/>
      <w:r>
        <w:rPr>
          <w:rFonts w:ascii="Arial" w:hAnsi="Arial"/>
        </w:rPr>
        <w:t xml:space="preserve"> assure une répartition parfaite en fourrière. En interaction avec le réglage du point d’alimentation, 16 tronçons sont possibles dans la forme de la nappe de projection. La coupure de section automatique est également utilisable en zone de fourrière et cela même avec un épandeur traîné de sorte à permettre d’activer les coupures avant le braquage en fourrière. Les composants du système d’épandage TS font du ZG-TX un véritable épandeur d’engrais de précision dans sa catégorie. </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CFB26A9" w14:textId="012A27F6"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Larges plages d’application</w:t>
      </w:r>
      <w:r>
        <w:rPr>
          <w:rFonts w:ascii="Arial" w:hAnsi="Arial"/>
        </w:rPr>
        <w:br/>
        <w:t>Passage rapide et simple du mode « engrais minéraux » au mode « amendements organiques »</w:t>
      </w:r>
    </w:p>
    <w:p w14:paraId="6A06F47D" w14:textId="3CE212FB"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Modèles d’épandage exceptionnels</w:t>
      </w:r>
      <w:r>
        <w:rPr>
          <w:rFonts w:ascii="Arial" w:hAnsi="Arial"/>
        </w:rPr>
        <w:t xml:space="preserve"> </w:t>
      </w:r>
      <w:r>
        <w:rPr>
          <w:rFonts w:ascii="Arial" w:hAnsi="Arial"/>
        </w:rPr>
        <w:br/>
        <w:t>Répartition transversale précise pour les engrais minéraux grâce au système d’épandage éprouvé TS et au système d’épandage « amendements organiques » de conception nouvelle</w:t>
      </w:r>
    </w:p>
    <w:p w14:paraId="27DE4A1C" w14:textId="47FEEFB7" w:rsidR="00780B70" w:rsidRPr="00780B70"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 xml:space="preserve">Épandage parfait en bordure </w:t>
      </w:r>
      <w:r>
        <w:rPr>
          <w:rFonts w:ascii="Arial" w:hAnsi="Arial"/>
        </w:rPr>
        <w:br/>
        <w:t xml:space="preserve">Rendement supérieur jusqu’à 17 % en bordure de champ avec le système </w:t>
      </w:r>
      <w:r>
        <w:rPr>
          <w:rFonts w:ascii="Arial" w:hAnsi="Arial"/>
        </w:rPr>
        <w:lastRenderedPageBreak/>
        <w:t xml:space="preserve">de bordure </w:t>
      </w:r>
      <w:proofErr w:type="spellStart"/>
      <w:r>
        <w:rPr>
          <w:rFonts w:ascii="Arial" w:hAnsi="Arial"/>
        </w:rPr>
        <w:t>AutoTS</w:t>
      </w:r>
      <w:proofErr w:type="spellEnd"/>
      <w:r>
        <w:rPr>
          <w:rFonts w:ascii="Arial" w:hAnsi="Arial"/>
        </w:rPr>
        <w:t xml:space="preserve"> – prouvé par des essais dans les champs de la ferme "Innovation </w:t>
      </w:r>
      <w:proofErr w:type="spellStart"/>
      <w:r>
        <w:rPr>
          <w:rFonts w:ascii="Arial" w:hAnsi="Arial"/>
        </w:rPr>
        <w:t>Farm</w:t>
      </w:r>
      <w:proofErr w:type="spellEnd"/>
      <w:r>
        <w:rPr>
          <w:rFonts w:ascii="Arial" w:hAnsi="Arial"/>
        </w:rPr>
        <w:t xml:space="preserve">" de </w:t>
      </w:r>
      <w:proofErr w:type="spellStart"/>
      <w:r>
        <w:rPr>
          <w:rFonts w:ascii="Arial" w:hAnsi="Arial"/>
        </w:rPr>
        <w:t>Wieselburg</w:t>
      </w:r>
      <w:proofErr w:type="spellEnd"/>
    </w:p>
    <w:p w14:paraId="7C5B29AD" w14:textId="00BE3BD9" w:rsidR="00161FDD" w:rsidRDefault="00780B70" w:rsidP="00780B70">
      <w:pPr>
        <w:pStyle w:val="Listenabsatz"/>
        <w:numPr>
          <w:ilvl w:val="0"/>
          <w:numId w:val="19"/>
        </w:numPr>
        <w:spacing w:after="120" w:line="360" w:lineRule="auto"/>
        <w:ind w:right="1695"/>
        <w:rPr>
          <w:rFonts w:ascii="Arial" w:eastAsia="Arial" w:hAnsi="Arial" w:cs="Arial"/>
        </w:rPr>
      </w:pPr>
      <w:r>
        <w:rPr>
          <w:rFonts w:ascii="Arial" w:hAnsi="Arial"/>
          <w:b/>
        </w:rPr>
        <w:t>Rendement maximal</w:t>
      </w:r>
      <w:r>
        <w:rPr>
          <w:rFonts w:ascii="Arial" w:hAnsi="Arial"/>
        </w:rPr>
        <w:t xml:space="preserve"> </w:t>
      </w:r>
      <w:r>
        <w:rPr>
          <w:rFonts w:ascii="Arial" w:hAnsi="Arial"/>
        </w:rPr>
        <w:br/>
        <w:t>Largeur de travail jusqu’à 54 m, capacité 11.200 l</w:t>
      </w:r>
    </w:p>
    <w:p w14:paraId="08BFF0E0" w14:textId="77777777" w:rsidR="00780B70" w:rsidRPr="00780B70" w:rsidRDefault="00780B70" w:rsidP="00780B70">
      <w:pPr>
        <w:spacing w:after="120" w:line="360" w:lineRule="auto"/>
        <w:ind w:left="567" w:right="1695"/>
        <w:rPr>
          <w:rFonts w:ascii="Arial" w:eastAsia="Arial" w:hAnsi="Arial" w:cs="Arial"/>
        </w:rPr>
      </w:pPr>
    </w:p>
    <w:p w14:paraId="0BB2E8B6" w14:textId="77777777" w:rsidR="00496488" w:rsidRDefault="00496488" w:rsidP="00161FDD">
      <w:pPr>
        <w:spacing w:after="120" w:line="360" w:lineRule="auto"/>
        <w:ind w:left="567" w:right="1695"/>
        <w:rPr>
          <w:rFonts w:ascii="Arial" w:eastAsia="Arial" w:hAnsi="Arial" w:cs="Arial"/>
        </w:rPr>
      </w:pPr>
    </w:p>
    <w:p w14:paraId="6A22D455" w14:textId="33890612"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2ABABF53" wp14:editId="40F5C6F3">
            <wp:extent cx="3477600" cy="2880000"/>
            <wp:effectExtent l="0" t="0" r="2540" b="3175"/>
            <wp:docPr id="3921683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68313" name="Grafik 3921683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E4FFB4B" w14:textId="77777777" w:rsidR="00780B70" w:rsidRPr="00780B70" w:rsidRDefault="00780B70" w:rsidP="00780B70">
      <w:pPr>
        <w:spacing w:after="120" w:line="360" w:lineRule="auto"/>
        <w:ind w:left="567" w:right="1695"/>
        <w:rPr>
          <w:rFonts w:ascii="Arial" w:eastAsia="Arial" w:hAnsi="Arial" w:cs="Arial"/>
        </w:rPr>
      </w:pPr>
      <w:r>
        <w:rPr>
          <w:rFonts w:ascii="Arial" w:hAnsi="Arial"/>
        </w:rPr>
        <w:t>L’épandeur traîné multiproduits ZG-TX 11200 Super offre une capacité maximale et de grandes largeurs de travail</w:t>
      </w:r>
    </w:p>
    <w:p w14:paraId="318BF51D" w14:textId="77777777" w:rsidR="00780B70" w:rsidRDefault="00780B70" w:rsidP="00161FDD">
      <w:pPr>
        <w:spacing w:after="120" w:line="360" w:lineRule="auto"/>
        <w:ind w:left="567" w:right="1695"/>
        <w:rPr>
          <w:rFonts w:ascii="Arial" w:eastAsia="Arial" w:hAnsi="Arial" w:cs="Arial"/>
        </w:rPr>
      </w:pPr>
    </w:p>
    <w:p w14:paraId="4DC1F906" w14:textId="77777777" w:rsidR="00780B70" w:rsidRDefault="00780B70" w:rsidP="00161FDD">
      <w:pPr>
        <w:spacing w:after="120" w:line="360" w:lineRule="auto"/>
        <w:ind w:left="567" w:right="1695"/>
        <w:rPr>
          <w:rFonts w:ascii="Arial" w:eastAsia="Arial" w:hAnsi="Arial" w:cs="Arial"/>
        </w:rPr>
      </w:pPr>
    </w:p>
    <w:p w14:paraId="077086F8" w14:textId="01F812D2" w:rsidR="008E229C" w:rsidRDefault="008E229C" w:rsidP="00161FDD">
      <w:pPr>
        <w:spacing w:after="120" w:line="360" w:lineRule="auto"/>
        <w:ind w:left="567" w:right="1695"/>
        <w:rPr>
          <w:rFonts w:ascii="Arial" w:eastAsia="Arial" w:hAnsi="Arial" w:cs="Arial"/>
        </w:rPr>
      </w:pPr>
      <w:r>
        <w:rPr>
          <w:rFonts w:ascii="Arial" w:hAnsi="Arial"/>
          <w:noProof/>
        </w:rPr>
        <w:drawing>
          <wp:inline distT="0" distB="0" distL="0" distR="0" wp14:anchorId="24F6AC2D" wp14:editId="7F8BA449">
            <wp:extent cx="1440000" cy="1440000"/>
            <wp:effectExtent l="0" t="0" r="0" b="0"/>
            <wp:docPr id="295404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04674" name="Grafik 29540467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7887254F" w14:textId="77777777" w:rsidR="00780B70" w:rsidRPr="008E229C" w:rsidRDefault="00780B70" w:rsidP="00780B70">
      <w:pPr>
        <w:spacing w:after="120" w:line="360" w:lineRule="auto"/>
        <w:ind w:left="567" w:right="1695"/>
        <w:rPr>
          <w:rFonts w:ascii="Arial" w:eastAsia="Arial" w:hAnsi="Arial" w:cs="Arial"/>
          <w:color w:val="000000" w:themeColor="text1"/>
        </w:rPr>
      </w:pPr>
      <w:r>
        <w:rPr>
          <w:rFonts w:ascii="Arial" w:hAnsi="Arial"/>
          <w:color w:val="000000" w:themeColor="text1"/>
        </w:rPr>
        <w:t xml:space="preserve">Vidéo du ZG-TX au travail : </w:t>
      </w:r>
    </w:p>
    <w:p w14:paraId="53D8E5AF" w14:textId="77777777" w:rsidR="008E229C" w:rsidRPr="008E229C" w:rsidRDefault="008E229C" w:rsidP="008E229C">
      <w:pPr>
        <w:spacing w:after="120" w:line="360" w:lineRule="auto"/>
        <w:ind w:left="567" w:right="1695"/>
        <w:rPr>
          <w:rFonts w:ascii="Arial" w:eastAsia="Arial" w:hAnsi="Arial" w:cs="Arial"/>
          <w:b/>
          <w:bCs/>
          <w:color w:val="000000" w:themeColor="text1"/>
        </w:rPr>
      </w:pPr>
      <w:r>
        <w:rPr>
          <w:rFonts w:ascii="Arial" w:hAnsi="Arial"/>
          <w:b/>
          <w:color w:val="000000" w:themeColor="text1"/>
        </w:rPr>
        <w:t>www.amazone.net/yt-zg-tx</w:t>
      </w:r>
    </w:p>
    <w:p w14:paraId="060F0B91" w14:textId="77777777" w:rsidR="00780B70" w:rsidRDefault="00780B70" w:rsidP="00161FDD">
      <w:pPr>
        <w:spacing w:after="120" w:line="360" w:lineRule="auto"/>
        <w:ind w:left="567" w:right="1695"/>
        <w:rPr>
          <w:rFonts w:ascii="Arial" w:eastAsia="Arial" w:hAnsi="Arial" w:cs="Arial"/>
        </w:rPr>
      </w:pPr>
    </w:p>
    <w:p w14:paraId="7E4A7ADC" w14:textId="77777777" w:rsidR="00780B70" w:rsidRDefault="00780B70" w:rsidP="00161FDD">
      <w:pPr>
        <w:spacing w:after="120" w:line="360" w:lineRule="auto"/>
        <w:ind w:left="567" w:right="1695"/>
        <w:rPr>
          <w:rFonts w:ascii="Arial" w:eastAsia="Arial" w:hAnsi="Arial" w:cs="Arial"/>
        </w:rPr>
      </w:pPr>
    </w:p>
    <w:p w14:paraId="5793925A" w14:textId="2DD2CE06" w:rsidR="00874555"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0B368FBA" wp14:editId="1C45E884">
            <wp:extent cx="6120000" cy="2109600"/>
            <wp:effectExtent l="0" t="0" r="1905" b="0"/>
            <wp:docPr id="18447175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717585" name="Grafik 184471758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D0D900B"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Le système d’épandage en bordure </w:t>
      </w:r>
      <w:proofErr w:type="spellStart"/>
      <w:r>
        <w:rPr>
          <w:rFonts w:ascii="Arial" w:hAnsi="Arial"/>
        </w:rPr>
        <w:t>AutoTS</w:t>
      </w:r>
      <w:proofErr w:type="spellEnd"/>
      <w:r>
        <w:rPr>
          <w:rFonts w:ascii="Arial" w:hAnsi="Arial"/>
        </w:rPr>
        <w:t xml:space="preserve"> positionné côté droit dans le sens d’avancement, optimise la répartition de l’engrais jusqu’en bordure du champ et définit de nouvelles références dans le segment des épandeurs multiproduits.</w:t>
      </w:r>
    </w:p>
    <w:p w14:paraId="4DC9157D" w14:textId="77777777" w:rsidR="00780B70" w:rsidRDefault="00780B70" w:rsidP="00161FDD">
      <w:pPr>
        <w:spacing w:after="120" w:line="360" w:lineRule="auto"/>
        <w:ind w:left="567" w:right="1695"/>
        <w:rPr>
          <w:rFonts w:ascii="Arial" w:eastAsia="Arial" w:hAnsi="Arial" w:cs="Arial"/>
        </w:rPr>
      </w:pPr>
    </w:p>
    <w:p w14:paraId="19A24A3E" w14:textId="77777777" w:rsidR="00780B70" w:rsidRDefault="00780B70" w:rsidP="00161FDD">
      <w:pPr>
        <w:spacing w:after="120" w:line="360" w:lineRule="auto"/>
        <w:ind w:left="567" w:right="1695"/>
        <w:rPr>
          <w:rFonts w:ascii="Arial" w:eastAsia="Arial" w:hAnsi="Arial" w:cs="Arial"/>
        </w:rPr>
      </w:pPr>
    </w:p>
    <w:p w14:paraId="76BC0F68" w14:textId="1AED5789"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1E43D546" wp14:editId="0400583E">
            <wp:extent cx="6120000" cy="2109600"/>
            <wp:effectExtent l="0" t="0" r="1905" b="0"/>
            <wp:docPr id="141489432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94321" name="Grafik 14148943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B526993" w14:textId="77777777" w:rsidR="00780B70" w:rsidRPr="00780B70" w:rsidRDefault="00780B70" w:rsidP="00780B70">
      <w:pPr>
        <w:spacing w:after="120" w:line="360" w:lineRule="auto"/>
        <w:ind w:left="567" w:right="1695"/>
        <w:rPr>
          <w:rFonts w:ascii="Arial" w:eastAsia="Arial" w:hAnsi="Arial" w:cs="Arial"/>
        </w:rPr>
      </w:pPr>
      <w:r>
        <w:rPr>
          <w:rFonts w:ascii="Arial" w:hAnsi="Arial"/>
        </w:rPr>
        <w:t>Le déflecteur de bordure de conception nouvelle pour les amendements organiques favorise un travail précis jusqu’en bordure du champ.</w:t>
      </w:r>
    </w:p>
    <w:p w14:paraId="5CD4D148" w14:textId="77777777" w:rsidR="00780B70" w:rsidRDefault="00780B70" w:rsidP="00161FDD">
      <w:pPr>
        <w:spacing w:after="120" w:line="360" w:lineRule="auto"/>
        <w:ind w:left="567" w:right="1695"/>
        <w:rPr>
          <w:rFonts w:ascii="Arial" w:eastAsia="Arial" w:hAnsi="Arial" w:cs="Arial"/>
        </w:rPr>
      </w:pPr>
    </w:p>
    <w:p w14:paraId="5CF9BDC7" w14:textId="77777777" w:rsidR="00780B70" w:rsidRDefault="00780B70" w:rsidP="00161FDD">
      <w:pPr>
        <w:spacing w:after="120" w:line="360" w:lineRule="auto"/>
        <w:ind w:left="567" w:right="1695"/>
        <w:rPr>
          <w:rFonts w:ascii="Arial" w:eastAsia="Arial" w:hAnsi="Arial" w:cs="Arial"/>
        </w:rPr>
      </w:pPr>
    </w:p>
    <w:p w14:paraId="376A54F7" w14:textId="081FCA9F"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E34B922" wp14:editId="0E2A3357">
            <wp:extent cx="2646000" cy="2250000"/>
            <wp:effectExtent l="0" t="0" r="0" b="0"/>
            <wp:docPr id="102862578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625784" name="Grafik 102862578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46000" cy="2250000"/>
                    </a:xfrm>
                    <a:prstGeom prst="rect">
                      <a:avLst/>
                    </a:prstGeom>
                  </pic:spPr>
                </pic:pic>
              </a:graphicData>
            </a:graphic>
          </wp:inline>
        </w:drawing>
      </w:r>
      <w:r>
        <w:rPr>
          <w:rFonts w:ascii="Arial" w:hAnsi="Arial"/>
          <w:noProof/>
        </w:rPr>
        <w:drawing>
          <wp:inline distT="0" distB="0" distL="0" distR="0" wp14:anchorId="46ACE5DE" wp14:editId="42E60A69">
            <wp:extent cx="2642400" cy="2250000"/>
            <wp:effectExtent l="0" t="0" r="0" b="0"/>
            <wp:docPr id="49738174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81740" name="Grafik 49738174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42400" cy="2250000"/>
                    </a:xfrm>
                    <a:prstGeom prst="rect">
                      <a:avLst/>
                    </a:prstGeom>
                  </pic:spPr>
                </pic:pic>
              </a:graphicData>
            </a:graphic>
          </wp:inline>
        </w:drawing>
      </w:r>
    </w:p>
    <w:p w14:paraId="69D36CC9"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Seules quelques pièces sont à changer pour passer du mode « engrais minéraux » </w:t>
      </w:r>
      <w:r>
        <w:rPr>
          <w:rFonts w:ascii="Arial" w:hAnsi="Arial"/>
          <w:b/>
        </w:rPr>
        <w:t>(à gauche)</w:t>
      </w:r>
      <w:r>
        <w:rPr>
          <w:rFonts w:ascii="Arial" w:hAnsi="Arial"/>
        </w:rPr>
        <w:t xml:space="preserve"> au mode « amendements organiques » </w:t>
      </w:r>
      <w:r>
        <w:rPr>
          <w:rFonts w:ascii="Arial" w:hAnsi="Arial"/>
          <w:b/>
        </w:rPr>
        <w:t>(à droite)</w:t>
      </w:r>
      <w:r>
        <w:rPr>
          <w:rFonts w:ascii="Arial" w:hAnsi="Arial"/>
        </w:rPr>
        <w:t>.</w:t>
      </w:r>
    </w:p>
    <w:p w14:paraId="584C6434" w14:textId="77777777" w:rsidR="00780B70" w:rsidRDefault="00780B70" w:rsidP="00161FDD">
      <w:pPr>
        <w:spacing w:after="120" w:line="360" w:lineRule="auto"/>
        <w:ind w:left="567" w:right="1695"/>
        <w:rPr>
          <w:rFonts w:ascii="Arial" w:eastAsia="Arial" w:hAnsi="Arial" w:cs="Arial"/>
        </w:rPr>
      </w:pPr>
    </w:p>
    <w:p w14:paraId="5517CACF" w14:textId="77777777" w:rsidR="00780B70" w:rsidRDefault="00780B70" w:rsidP="00161FDD">
      <w:pPr>
        <w:spacing w:after="120" w:line="360" w:lineRule="auto"/>
        <w:ind w:left="567" w:right="1695"/>
        <w:rPr>
          <w:rFonts w:ascii="Arial" w:eastAsia="Arial" w:hAnsi="Arial" w:cs="Arial"/>
        </w:rPr>
      </w:pPr>
    </w:p>
    <w:p w14:paraId="5C04DF1B" w14:textId="24F6E6B7"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2EFDBFF1" wp14:editId="1CCEC19B">
            <wp:extent cx="6120000" cy="2109600"/>
            <wp:effectExtent l="0" t="0" r="1905" b="0"/>
            <wp:docPr id="58695526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55260" name="Grafik 58695526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3A5EADE"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L’interaction entre le fond mouvant et la double trappe permet un dosage précis, quel que soit le côté. Le système d’épandage TS entraîné par prise de force garantit des nappes d’épandage précises avec des largeurs de travail jusqu’à 54 m. </w:t>
      </w:r>
    </w:p>
    <w:p w14:paraId="2FCAAB4B" w14:textId="77777777" w:rsidR="00780B70" w:rsidRDefault="00780B70" w:rsidP="00161FDD">
      <w:pPr>
        <w:spacing w:after="120" w:line="360" w:lineRule="auto"/>
        <w:ind w:left="567" w:right="1695"/>
        <w:rPr>
          <w:rFonts w:ascii="Arial" w:eastAsia="Arial" w:hAnsi="Arial" w:cs="Arial"/>
        </w:rPr>
      </w:pPr>
    </w:p>
    <w:p w14:paraId="3AF7F80F" w14:textId="77777777" w:rsidR="00780B70" w:rsidRDefault="00780B70" w:rsidP="00161FDD">
      <w:pPr>
        <w:spacing w:after="120" w:line="360" w:lineRule="auto"/>
        <w:ind w:left="567" w:right="1695"/>
        <w:rPr>
          <w:rFonts w:ascii="Arial" w:eastAsia="Arial" w:hAnsi="Arial" w:cs="Arial"/>
        </w:rPr>
      </w:pPr>
    </w:p>
    <w:p w14:paraId="4422F850" w14:textId="2E3DA23E"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D85FD9E" wp14:editId="481305B5">
            <wp:extent cx="4622400" cy="2880000"/>
            <wp:effectExtent l="0" t="0" r="635" b="3175"/>
            <wp:docPr id="173278911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789112" name="Grafik 17327891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22400" cy="2880000"/>
                    </a:xfrm>
                    <a:prstGeom prst="rect">
                      <a:avLst/>
                    </a:prstGeom>
                  </pic:spPr>
                </pic:pic>
              </a:graphicData>
            </a:graphic>
          </wp:inline>
        </w:drawing>
      </w:r>
    </w:p>
    <w:p w14:paraId="1C030A39"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ZG-TX 6800 </w:t>
      </w:r>
      <w:proofErr w:type="spellStart"/>
      <w:r>
        <w:rPr>
          <w:rFonts w:ascii="Arial" w:hAnsi="Arial"/>
        </w:rPr>
        <w:t>Special</w:t>
      </w:r>
      <w:proofErr w:type="spellEnd"/>
    </w:p>
    <w:p w14:paraId="744FFCE0" w14:textId="77777777" w:rsidR="00780B70" w:rsidRDefault="00780B70" w:rsidP="00161FDD">
      <w:pPr>
        <w:spacing w:after="120" w:line="360" w:lineRule="auto"/>
        <w:ind w:left="567" w:right="1695"/>
        <w:rPr>
          <w:rFonts w:ascii="Arial" w:eastAsia="Arial" w:hAnsi="Arial" w:cs="Arial"/>
        </w:rPr>
      </w:pPr>
    </w:p>
    <w:p w14:paraId="5041DB27" w14:textId="77777777" w:rsidR="00780B70" w:rsidRDefault="00780B70" w:rsidP="00161FDD">
      <w:pPr>
        <w:spacing w:after="120" w:line="360" w:lineRule="auto"/>
        <w:ind w:left="567" w:right="1695"/>
        <w:rPr>
          <w:rFonts w:ascii="Arial" w:eastAsia="Arial" w:hAnsi="Arial" w:cs="Arial"/>
        </w:rPr>
      </w:pPr>
    </w:p>
    <w:p w14:paraId="41A458FF" w14:textId="016020F9"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5FDDAA86" wp14:editId="70174731">
            <wp:extent cx="4676400" cy="2880000"/>
            <wp:effectExtent l="0" t="0" r="0" b="3175"/>
            <wp:docPr id="6527801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78017" name="Grafik 652780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76400" cy="2880000"/>
                    </a:xfrm>
                    <a:prstGeom prst="rect">
                      <a:avLst/>
                    </a:prstGeom>
                  </pic:spPr>
                </pic:pic>
              </a:graphicData>
            </a:graphic>
          </wp:inline>
        </w:drawing>
      </w:r>
    </w:p>
    <w:p w14:paraId="0217FFA3"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11200 Super</w:t>
      </w:r>
    </w:p>
    <w:p w14:paraId="48022D5F" w14:textId="77777777" w:rsidR="00780B70" w:rsidRDefault="00780B70" w:rsidP="00161FDD">
      <w:pPr>
        <w:spacing w:after="120" w:line="360" w:lineRule="auto"/>
        <w:ind w:left="567" w:right="1695"/>
        <w:rPr>
          <w:rFonts w:ascii="Arial" w:eastAsia="Arial" w:hAnsi="Arial" w:cs="Arial"/>
        </w:rPr>
      </w:pPr>
    </w:p>
    <w:p w14:paraId="4F31F26F" w14:textId="77777777" w:rsidR="00780B70" w:rsidRDefault="00780B70" w:rsidP="00161FDD">
      <w:pPr>
        <w:spacing w:after="120" w:line="360" w:lineRule="auto"/>
        <w:ind w:left="567" w:right="1695"/>
        <w:rPr>
          <w:rFonts w:ascii="Arial" w:eastAsia="Arial" w:hAnsi="Arial" w:cs="Arial"/>
        </w:rPr>
      </w:pPr>
    </w:p>
    <w:p w14:paraId="71B323AF" w14:textId="77777777" w:rsidR="00780B70" w:rsidRDefault="00780B70" w:rsidP="00161FDD">
      <w:pPr>
        <w:spacing w:after="120" w:line="360" w:lineRule="auto"/>
        <w:ind w:left="567" w:right="1695"/>
        <w:rPr>
          <w:rFonts w:ascii="Arial" w:eastAsia="Arial" w:hAnsi="Arial" w:cs="Arial"/>
        </w:rPr>
      </w:pPr>
    </w:p>
    <w:p w14:paraId="6E3595D9" w14:textId="58AFE313"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EA73BA6" wp14:editId="4529CFD7">
            <wp:extent cx="4053600" cy="2880000"/>
            <wp:effectExtent l="0" t="0" r="0" b="3175"/>
            <wp:docPr id="61126839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68397" name="Grafik 61126839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AD7596A" w14:textId="77777777" w:rsidR="00780B70" w:rsidRPr="00780B70" w:rsidRDefault="00780B70" w:rsidP="00780B70">
      <w:pPr>
        <w:spacing w:after="120" w:line="360" w:lineRule="auto"/>
        <w:ind w:left="567" w:right="1695"/>
        <w:rPr>
          <w:rFonts w:ascii="Arial" w:eastAsia="Arial" w:hAnsi="Arial" w:cs="Arial"/>
        </w:rPr>
      </w:pPr>
      <w:r>
        <w:rPr>
          <w:rFonts w:ascii="Arial" w:hAnsi="Arial"/>
        </w:rPr>
        <w:t xml:space="preserve">Commandes faciles avec le terminal </w:t>
      </w:r>
      <w:proofErr w:type="spellStart"/>
      <w:r>
        <w:rPr>
          <w:rFonts w:ascii="Arial" w:hAnsi="Arial"/>
        </w:rPr>
        <w:t>EasySet</w:t>
      </w:r>
      <w:proofErr w:type="spellEnd"/>
      <w:r>
        <w:rPr>
          <w:rFonts w:ascii="Arial" w:hAnsi="Arial"/>
        </w:rPr>
        <w:t xml:space="preserve"> 2, en série sur la machine</w:t>
      </w:r>
    </w:p>
    <w:p w14:paraId="3303ABC5" w14:textId="77777777" w:rsidR="00780B70" w:rsidRDefault="00780B70" w:rsidP="00161FDD">
      <w:pPr>
        <w:spacing w:after="120" w:line="360" w:lineRule="auto"/>
        <w:ind w:left="567" w:right="1695"/>
        <w:rPr>
          <w:rFonts w:ascii="Arial" w:eastAsia="Arial" w:hAnsi="Arial" w:cs="Arial"/>
        </w:rPr>
      </w:pPr>
    </w:p>
    <w:p w14:paraId="2A6FF571" w14:textId="77777777" w:rsidR="00780B70" w:rsidRDefault="00780B70" w:rsidP="00161FDD">
      <w:pPr>
        <w:spacing w:after="120" w:line="360" w:lineRule="auto"/>
        <w:ind w:left="567" w:right="1695"/>
        <w:rPr>
          <w:rFonts w:ascii="Arial" w:eastAsia="Arial" w:hAnsi="Arial" w:cs="Arial"/>
        </w:rPr>
      </w:pPr>
    </w:p>
    <w:p w14:paraId="21151412" w14:textId="173D1CAB" w:rsidR="00780B70" w:rsidRDefault="00780B70" w:rsidP="00161FDD">
      <w:pPr>
        <w:spacing w:after="120" w:line="360" w:lineRule="auto"/>
        <w:ind w:left="567" w:right="1695"/>
        <w:rPr>
          <w:rFonts w:ascii="Arial" w:eastAsia="Arial" w:hAnsi="Arial" w:cs="Arial"/>
        </w:rPr>
      </w:pPr>
      <w:r>
        <w:rPr>
          <w:rFonts w:ascii="Arial" w:hAnsi="Arial"/>
          <w:noProof/>
        </w:rPr>
        <w:drawing>
          <wp:inline distT="0" distB="0" distL="0" distR="0" wp14:anchorId="1E81831F" wp14:editId="1BDB3FC3">
            <wp:extent cx="4053600" cy="2880000"/>
            <wp:effectExtent l="0" t="0" r="0" b="3175"/>
            <wp:docPr id="172959213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592136" name="Grafik 172959213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537B36" w14:textId="77777777" w:rsidR="00780B70" w:rsidRPr="00780B70" w:rsidRDefault="00780B70" w:rsidP="00780B70">
      <w:pPr>
        <w:spacing w:after="120" w:line="360" w:lineRule="auto"/>
        <w:ind w:left="567" w:right="1695"/>
        <w:rPr>
          <w:rFonts w:ascii="Arial" w:eastAsia="Arial" w:hAnsi="Arial" w:cs="Arial"/>
        </w:rPr>
      </w:pPr>
      <w:r>
        <w:rPr>
          <w:rFonts w:ascii="Arial" w:hAnsi="Arial"/>
        </w:rPr>
        <w:t>Commande intuitive avec le nouveau logiciel ISOBUS</w:t>
      </w:r>
    </w:p>
    <w:p w14:paraId="1389BBC4" w14:textId="77777777" w:rsidR="00780B70" w:rsidRDefault="00780B70" w:rsidP="00161FDD">
      <w:pPr>
        <w:spacing w:after="120" w:line="360" w:lineRule="auto"/>
        <w:ind w:left="567" w:right="1695"/>
        <w:rPr>
          <w:rFonts w:ascii="Arial" w:eastAsia="Arial" w:hAnsi="Arial" w:cs="Arial"/>
        </w:rPr>
      </w:pPr>
    </w:p>
    <w:p w14:paraId="7A86EF54" w14:textId="77777777" w:rsidR="00780B70" w:rsidRDefault="00780B70" w:rsidP="00161FDD">
      <w:pPr>
        <w:spacing w:after="120" w:line="360" w:lineRule="auto"/>
        <w:ind w:left="567" w:right="1695"/>
        <w:rPr>
          <w:rFonts w:ascii="Arial" w:eastAsia="Arial" w:hAnsi="Arial" w:cs="Arial"/>
        </w:rPr>
      </w:pPr>
    </w:p>
    <w:p w14:paraId="637B653F" w14:textId="01579444" w:rsidR="00780B70" w:rsidRDefault="00780B70"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7DFA050" wp14:editId="270F9531">
            <wp:extent cx="3477600" cy="2880000"/>
            <wp:effectExtent l="0" t="0" r="2540" b="3175"/>
            <wp:docPr id="44187024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870249" name="Grafik 44187024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AF08816" w14:textId="77777777" w:rsidR="00780B70" w:rsidRPr="00780B70" w:rsidRDefault="00780B70" w:rsidP="00780B70">
      <w:pPr>
        <w:spacing w:after="120" w:line="360" w:lineRule="auto"/>
        <w:ind w:left="567" w:right="1695"/>
        <w:rPr>
          <w:rFonts w:ascii="Arial" w:eastAsia="Arial" w:hAnsi="Arial" w:cs="Arial"/>
        </w:rPr>
      </w:pPr>
      <w:r>
        <w:rPr>
          <w:rFonts w:ascii="Arial" w:hAnsi="Arial"/>
        </w:rPr>
        <w:t>ZG-TX 11200 Super : Une utilisation efficace de la chaux avec une charge utile de 17 t et une largeur de travail jusqu’à 16 m</w:t>
      </w:r>
    </w:p>
    <w:p w14:paraId="00D00F95" w14:textId="77777777" w:rsidR="00780B70" w:rsidRDefault="00780B70" w:rsidP="00161FDD">
      <w:pPr>
        <w:spacing w:after="120" w:line="360" w:lineRule="auto"/>
        <w:ind w:left="567" w:right="1695"/>
        <w:rPr>
          <w:rFonts w:ascii="Arial" w:eastAsia="Arial" w:hAnsi="Arial" w:cs="Arial"/>
        </w:rPr>
      </w:pPr>
    </w:p>
    <w:p w14:paraId="1B555D8D" w14:textId="77777777" w:rsidR="00780B70" w:rsidRDefault="00780B70" w:rsidP="00161FDD">
      <w:pPr>
        <w:spacing w:after="120" w:line="360" w:lineRule="auto"/>
        <w:ind w:left="567" w:right="1695"/>
        <w:rPr>
          <w:rFonts w:ascii="Arial" w:eastAsia="Arial" w:hAnsi="Arial" w:cs="Arial"/>
        </w:rPr>
      </w:pPr>
    </w:p>
    <w:p w14:paraId="19845BEA" w14:textId="77777777" w:rsidR="00780B70" w:rsidRDefault="00780B70" w:rsidP="00161FDD">
      <w:pPr>
        <w:spacing w:after="120" w:line="360" w:lineRule="auto"/>
        <w:ind w:left="567"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2A9B4B59"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21"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7"/>
      <w:headerReference w:type="default" r:id="rId38"/>
      <w:footerReference w:type="even" r:id="rId39"/>
      <w:footerReference w:type="default" r:id="rId40"/>
      <w:headerReference w:type="first" r:id="rId41"/>
      <w:footerReference w:type="first" r:id="rId4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931697" w14:textId="77777777" w:rsidR="00195616" w:rsidRDefault="00195616">
      <w:r>
        <w:separator/>
      </w:r>
    </w:p>
  </w:endnote>
  <w:endnote w:type="continuationSeparator" w:id="0">
    <w:p w14:paraId="270ECBA2" w14:textId="77777777" w:rsidR="00195616" w:rsidRDefault="001956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2F5B3D" w14:textId="77777777" w:rsidR="00195616" w:rsidRDefault="00195616">
      <w:r>
        <w:separator/>
      </w:r>
    </w:p>
  </w:footnote>
  <w:footnote w:type="continuationSeparator" w:id="0">
    <w:p w14:paraId="3D51A5AF" w14:textId="77777777" w:rsidR="00195616" w:rsidRDefault="001956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4"/>
  </w:num>
  <w:num w:numId="10" w16cid:durableId="136532471">
    <w:abstractNumId w:val="9"/>
  </w:num>
  <w:num w:numId="11" w16cid:durableId="2055814173">
    <w:abstractNumId w:val="10"/>
  </w:num>
  <w:num w:numId="12" w16cid:durableId="636498599">
    <w:abstractNumId w:val="13"/>
  </w:num>
  <w:num w:numId="13" w16cid:durableId="118423553">
    <w:abstractNumId w:val="18"/>
  </w:num>
  <w:num w:numId="14" w16cid:durableId="1499079657">
    <w:abstractNumId w:val="14"/>
  </w:num>
  <w:num w:numId="15" w16cid:durableId="556353878">
    <w:abstractNumId w:val="16"/>
  </w:num>
  <w:num w:numId="16" w16cid:durableId="1202472297">
    <w:abstractNumId w:val="3"/>
  </w:num>
  <w:num w:numId="17" w16cid:durableId="50662991">
    <w:abstractNumId w:val="15"/>
  </w:num>
  <w:num w:numId="18" w16cid:durableId="57364874">
    <w:abstractNumId w:val="17"/>
  </w:num>
  <w:num w:numId="19" w16cid:durableId="27009196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616"/>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5EE"/>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4F20"/>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14"/>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AC7"/>
    <w:rsid w:val="008E2078"/>
    <w:rsid w:val="008E229C"/>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3E17"/>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4D2F"/>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oter" Target="footer1.xml"/><Relationship Id="rId21" Type="http://schemas.openxmlformats.org/officeDocument/2006/relationships/hyperlink" Target="https://www.amazone.fr" TargetMode="External"/><Relationship Id="rId34" Type="http://schemas.openxmlformats.org/officeDocument/2006/relationships/hyperlink" Target="https://www.xing.com/company/amazone" TargetMode="External"/><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france/"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france"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france" TargetMode="External"/><Relationship Id="rId33" Type="http://schemas.openxmlformats.org/officeDocument/2006/relationships/image" Target="cid:LinkedIn_80de4e9c-c7a3-41e3-8e11-063f7eace13d.jpg" TargetMode="External"/><Relationship Id="rId38"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1493</Words>
  <Characters>9408</Characters>
  <Application>Microsoft Office Word</Application>
  <DocSecurity>0</DocSecurity>
  <Lines>78</Lines>
  <Paragraphs>21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10880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