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3CA664F5" w:rsidR="00780B70" w:rsidRPr="00780B70" w:rsidRDefault="00780B70" w:rsidP="00780B70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ZG-TX</w:t>
      </w:r>
      <w:r w:rsidR="0025134E">
        <w:rPr>
          <w:rFonts w:ascii="Arial" w:hAnsi="Arial"/>
          <w:b/>
          <w:sz w:val="28"/>
          <w:lang w:val="de-DE"/>
        </w:rPr>
        <w:t xml:space="preserve"> </w:t>
      </w:r>
      <w:r>
        <w:rPr>
          <w:rFonts w:ascii="Arial" w:hAnsi="Arial"/>
          <w:b/>
          <w:sz w:val="28"/>
        </w:rPr>
        <w:t>– Бескомпромиссный комбинированный распределитель</w:t>
      </w:r>
    </w:p>
    <w:p w14:paraId="1FF2836C" w14:textId="77777777" w:rsidR="00780B70" w:rsidRPr="00780B70" w:rsidRDefault="00780B70" w:rsidP="00780B70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Гибкий – прецизионный – высокопроизводительный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05E604BA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новым прицепным ZG-TX AMAZONE задает новые масштабы в сегменте комбинированных распределителей. За счет простой перестановки между распределительным устройством TS и распределительным устройством новой разработки для извести можно с помощью одной машины прецизионно вносить как минеральные удобрения, так и землисто-влажную известь. ZG-TX объединяет, таким образом, преимущества распределительного устройства TS вместе с интегрированным в диски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для наилучших результатов пограничного распределения с высочайшей действенностью при внесении извести. С простой рамой Special и усиленной рамой Super AMAZONE предлагает каждому подходящую машину.</w:t>
      </w:r>
    </w:p>
    <w:p w14:paraId="74BCA08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55F012" w14:textId="310C14EA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Прецизионный распределитель в своем классе – В фокусе точное внесение удобрений</w:t>
      </w:r>
    </w:p>
    <w:p w14:paraId="4EE7C63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До сих пор комбинированными распределителями считались машины, которые подают по одному ленточному транспортеру на 2 распределительных диска либо минеральные удобрения, либо известь. Однако и в сегменте комбинированных распределителей растет спрос среди клиентов на высочайшую </w:t>
      </w:r>
      <w:proofErr w:type="spellStart"/>
      <w:r>
        <w:rPr>
          <w:rFonts w:ascii="Arial" w:hAnsi="Arial"/>
        </w:rPr>
        <w:t>прецизионность</w:t>
      </w:r>
      <w:proofErr w:type="spellEnd"/>
      <w:r>
        <w:rPr>
          <w:rFonts w:ascii="Arial" w:hAnsi="Arial"/>
        </w:rPr>
        <w:t xml:space="preserve">. В связи с этим AMAZONE решила освоить новые пути в области дозирования удобрений в комбинации с </w:t>
      </w:r>
      <w:proofErr w:type="spellStart"/>
      <w:r>
        <w:rPr>
          <w:rFonts w:ascii="Arial" w:hAnsi="Arial"/>
        </w:rPr>
        <w:t>прецизионностью</w:t>
      </w:r>
      <w:proofErr w:type="spellEnd"/>
      <w:r>
        <w:rPr>
          <w:rFonts w:ascii="Arial" w:hAnsi="Arial"/>
        </w:rPr>
        <w:t xml:space="preserve"> распределительного устройства TS. Результат во многом представляется новым.</w:t>
      </w:r>
    </w:p>
    <w:p w14:paraId="2CAB361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480174" w14:textId="77777777" w:rsidR="00780B70" w:rsidRDefault="00780B70" w:rsidP="00780B70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Вместо простого лотка, по которому удобрения дозируются на диск, на ZG-TX установлена определенная система регулировки точки подачи. В свою очередь это позволяет использовать оптимизированные функции, такие как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и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Control. За счет этого известное по </w:t>
      </w:r>
      <w:r>
        <w:rPr>
          <w:rFonts w:ascii="Arial" w:hAnsi="Arial"/>
        </w:rPr>
        <w:lastRenderedPageBreak/>
        <w:t xml:space="preserve">распределителям TS распределительное устройство обеспечивает прецизионные картины распределения при ширине захвата до 54 м. В комбинации с предлагаемой по желанию системой измерения крутящего момента </w:t>
      </w:r>
      <w:proofErr w:type="spellStart"/>
      <w:r>
        <w:rPr>
          <w:rFonts w:ascii="Arial" w:hAnsi="Arial"/>
        </w:rPr>
        <w:t>FlowControl</w:t>
      </w:r>
      <w:proofErr w:type="spellEnd"/>
      <w:r>
        <w:rPr>
          <w:rFonts w:ascii="Arial" w:hAnsi="Arial"/>
        </w:rPr>
        <w:t xml:space="preserve"> гарантируется точная регулировка нормы внесения с первых секунд. При этом удобрения прецизионно дозируются за счет интеллектуальной согласованности двойной заслонки с электрической регулировкой и скорости ленточного транспортера. При использовании аппликационных карт это возможно также вне зависимости от стороны. </w:t>
      </w:r>
    </w:p>
    <w:p w14:paraId="500CB80C" w14:textId="77777777" w:rsidR="00291CF4" w:rsidRPr="00780B70" w:rsidRDefault="00291CF4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6C8FD7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Идеальное пограничное распределение</w:t>
      </w:r>
    </w:p>
    <w:p w14:paraId="07D6F6A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 области пограничного распределения ZG-TX также задает новые масштабы. Вместе с распределительным устройством TS предусмотрена заводская установка интегрированной в диски системы пограничного распределения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с правой стороны. Это обеспечивает даже при большой ширине захвата наилучшие результаты пограничного распределения вплоть до края поля. Ранее эта система предназначалась исключительно для прецизионных распределителей ZA-TS и ZG-TS, теперь она предлагается также и на ZG-TX. Тем самым, можно получить до 17 % дополнительной прибыли по сравнению с традиционными системами пограничного распределения. Использование такой системы пограничного распределения в области комбинированных распределителей является уникальным. </w:t>
      </w:r>
    </w:p>
    <w:p w14:paraId="5CC0824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5317C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Двойная польза – оптимальное распределение извести и удобрений</w:t>
      </w:r>
    </w:p>
    <w:p w14:paraId="6EC38D99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Особенностью на ZG-TX является простой переход от режима внесения извести на режим внесения минеральных удобрений. Для этого нужно заменить лишь некоторые детали. К ним относятся распределительные диски, брызговики, а также распределяющая система. Благодаря умному ПО терминал определяет, что распределитель был перенастроен на другой режим. Так, комбинированный распределитель можно полностью </w:t>
      </w:r>
      <w:r>
        <w:rPr>
          <w:rFonts w:ascii="Arial" w:hAnsi="Arial"/>
        </w:rPr>
        <w:lastRenderedPageBreak/>
        <w:t xml:space="preserve">перенастроить примерно за 25 минут и вносить либо известь, либо удобрения. </w:t>
      </w:r>
    </w:p>
    <w:p w14:paraId="62E088F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1C06CA" w14:textId="5AF3E504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Действенный распределитель извести с инновационными свойствами – Без ограничений при надежной работе в поле</w:t>
      </w:r>
    </w:p>
    <w:p w14:paraId="513D55EA" w14:textId="5AD14569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 особенности прочная конструкция ZG-TX Super позволяет максимальную нагрузку на ось. Это возможно за счет нагрузки на ось 15 т в сочетании с опорной нагрузкой </w:t>
      </w:r>
      <w:r w:rsidR="006D6F79" w:rsidRPr="006D6F79">
        <w:rPr>
          <w:rFonts w:ascii="Arial" w:hAnsi="Arial"/>
        </w:rPr>
        <w:t>6</w:t>
      </w:r>
      <w:r>
        <w:rPr>
          <w:rFonts w:ascii="Arial" w:hAnsi="Arial"/>
        </w:rPr>
        <w:t xml:space="preserve"> т. Отвесные стенки бункера обеспечивают соскальзывание извести, в том числе землисто-влажной, а поставляемая по желанию цепная гребёнка гарантирует равномерный поток материала к распределительному устройству.</w:t>
      </w:r>
    </w:p>
    <w:p w14:paraId="3915C66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683EF3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Распределительное устройство новой разработки способствует достижению высочайшей производительности. Оно надежно распределяет известь на ширину захвата до 16 м.</w:t>
      </w:r>
    </w:p>
    <w:p w14:paraId="44712DD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439D3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Внесение извести по новым разработкам</w:t>
      </w:r>
    </w:p>
    <w:p w14:paraId="39F3E00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Наряду с действенностью при внесении твердой извести, в фокусе разработок находилась также </w:t>
      </w:r>
      <w:proofErr w:type="spellStart"/>
      <w:r>
        <w:rPr>
          <w:rFonts w:ascii="Arial" w:hAnsi="Arial"/>
        </w:rPr>
        <w:t>прецизионность</w:t>
      </w:r>
      <w:proofErr w:type="spellEnd"/>
      <w:r>
        <w:rPr>
          <w:rFonts w:ascii="Arial" w:hAnsi="Arial"/>
        </w:rPr>
        <w:t>. Так, опциональная заслонка для дозирования минимального количества позволяет одновременно равномерное внесение небольших количеств извести менее 1 т/га. Далее можно оптимизировать картину распределения, впервые при внесении извести, за счет простой корректировки точки подачи.</w:t>
      </w:r>
    </w:p>
    <w:p w14:paraId="5BE69FE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91F4B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качестве новинки в области комбинированных распределителей AMAZONE поставляет также под заказ пограничный щиток для внесения извести. Тем самым, его можно также с точностью использовать вдоль границ поля и канав.</w:t>
      </w:r>
    </w:p>
    <w:p w14:paraId="2F66752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8A98DD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Подходящая машина для любых целей</w:t>
      </w:r>
    </w:p>
    <w:p w14:paraId="6BB288A7" w14:textId="6240F6B9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Различные варианты оснащения прицепного комбинированного распределителя ZG-TX можно приспособить специально для применения в крупных хозяйствах, подрядных организациях или при аренде техники. Рама Special предлагается с объёмом бункера 6.800 л и 9.000 л при максимально допустимой массе машины </w:t>
      </w:r>
      <w:r w:rsidR="006D6F79" w:rsidRPr="006D6F79">
        <w:rPr>
          <w:rFonts w:ascii="Arial" w:hAnsi="Arial"/>
        </w:rPr>
        <w:t>12,5</w:t>
      </w:r>
      <w:r>
        <w:rPr>
          <w:rFonts w:ascii="Arial" w:hAnsi="Arial"/>
        </w:rPr>
        <w:t xml:space="preserve"> т, рама Super - до 11.200 л и 21 т. </w:t>
      </w:r>
    </w:p>
    <w:p w14:paraId="3B3166EE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468077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 то время как ZG-TX Super серийно оснащается массивным дышлом с нижним зацеплением, ZG-TX Special на выбор поставляется с дышлом с верхним или нижним зацеплением.</w:t>
      </w:r>
    </w:p>
    <w:p w14:paraId="38BB446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3CD25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Шины AS высотой 2,05 м или </w:t>
      </w:r>
      <w:proofErr w:type="spellStart"/>
      <w:r>
        <w:rPr>
          <w:rFonts w:ascii="Arial" w:hAnsi="Arial"/>
        </w:rPr>
        <w:t>имплементные</w:t>
      </w:r>
      <w:proofErr w:type="spellEnd"/>
      <w:r>
        <w:rPr>
          <w:rFonts w:ascii="Arial" w:hAnsi="Arial"/>
        </w:rPr>
        <w:t xml:space="preserve"> шины 750 мм равномерно распределяют нагрузку на почву. Предлагается также руление с поворотными кулаками с углом поворота до 20 градусов. Быстрая транспортировка со скоростью 40 км/ч по общественным дорогам обеспечивается за счет серийно установленной двухконтурной пневматической тормозной системы и светодиодного освещения. </w:t>
      </w:r>
    </w:p>
    <w:p w14:paraId="4F5EAED8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6680BD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Приподнятый на 5 градусов ленточный транспортер позволяет проводить разгрузку сзади вперед. Это гарантирует оптимальное распределение нагрузки во время внесения материалов. Максимальная опорная нагрузка и более низкая нагрузка на ось обеспечивают безопасный проезд по полю.</w:t>
      </w:r>
    </w:p>
    <w:p w14:paraId="062C1A1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65D58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Комфортное управление с Easy и ISOBUS</w:t>
      </w:r>
    </w:p>
    <w:p w14:paraId="06BEB56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Обе концепции Easy и </w:t>
      </w:r>
      <w:proofErr w:type="spellStart"/>
      <w:r>
        <w:rPr>
          <w:rFonts w:ascii="Arial" w:hAnsi="Arial"/>
        </w:rPr>
        <w:t>Tronic</w:t>
      </w:r>
      <w:proofErr w:type="spellEnd"/>
      <w:r>
        <w:rPr>
          <w:rFonts w:ascii="Arial" w:hAnsi="Arial"/>
        </w:rPr>
        <w:t xml:space="preserve"> предлагают подходящую систему управления для любой обработки. На ZG-TX </w:t>
      </w:r>
      <w:proofErr w:type="spellStart"/>
      <w:r>
        <w:rPr>
          <w:rFonts w:ascii="Arial" w:hAnsi="Arial"/>
        </w:rPr>
        <w:t>Tronic</w:t>
      </w:r>
      <w:proofErr w:type="spellEnd"/>
      <w:r>
        <w:rPr>
          <w:rFonts w:ascii="Arial" w:hAnsi="Arial"/>
        </w:rPr>
        <w:t xml:space="preserve"> новая интуитивная система ISOBUS-управления представляет все функции в области ISOBUS. Наряду </w:t>
      </w:r>
      <w:r>
        <w:rPr>
          <w:rFonts w:ascii="Arial" w:hAnsi="Arial"/>
        </w:rPr>
        <w:lastRenderedPageBreak/>
        <w:t xml:space="preserve">с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Control, дифференцированной обработкой и менеджментом заданий, можно интегрировать управление через AUX-N в систему управления трактора. С помощью 3 камер механизатор всегда имеет в поле зрения окружающую территорию и саму машину. На ZG-TX опциональный пакет освещения интегрирован в программное обеспечение. За счет интеллектуального взаимодействия с цифровым указателем уровня мигание оповещает об уровне в бункере и позволяет проводить оптимальную загрузку. Здесь не остается неисполненных желаний! </w:t>
      </w:r>
    </w:p>
    <w:p w14:paraId="5D410954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0FB31C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Система управления с помощью специфического для машины компьютера управления </w:t>
      </w:r>
      <w:proofErr w:type="spellStart"/>
      <w:r>
        <w:rPr>
          <w:rFonts w:ascii="Arial" w:hAnsi="Arial"/>
        </w:rPr>
        <w:t>EasySet</w:t>
      </w:r>
      <w:proofErr w:type="spellEnd"/>
      <w:r>
        <w:rPr>
          <w:rFonts w:ascii="Arial" w:hAnsi="Arial"/>
        </w:rPr>
        <w:t xml:space="preserve"> 2, которая применяется также на навесных распределителях ZA-X, ZA-M и ZA-V, обеспечивается очень простое управление с любым трактором. Здесь в фокусе внимания находится простая система регулировки нормы внесения в зависимости от скорости движения. С наименьшими требованиями к тяговой машине можно, таким образом, очень просто использовать различные трактора.</w:t>
      </w:r>
    </w:p>
    <w:p w14:paraId="4F72BC30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56F99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Равномерные посевы на разворотной полосе</w:t>
      </w:r>
    </w:p>
    <w:p w14:paraId="1FB2B79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 ISOBUS-машинах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обеспечивает идеальное распределение на разворотной полосе. За счет взаимодействия с системой электрической регулировки точки подачи включаются 16 секций в виде параболического веера распределения. Обработка продолжается на разворотной полосе в сторону внутренней части поля, за счет чего также с прицепным распределителем возможна функция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 на оптимальных точках включения, без необходимости переезда по колее разворотной полосы. Взаимодействие компонентов распределительного устройства TS позволяет считать распределитель ZG-TX действительно прецизионным в своем классе. 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26A9" w14:textId="012A27F6" w:rsidR="00780B70" w:rsidRPr="00780B70" w:rsidRDefault="00780B70" w:rsidP="00780B70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Гибкие области применения</w:t>
      </w:r>
      <w:r>
        <w:rPr>
          <w:rFonts w:ascii="Arial" w:hAnsi="Arial"/>
        </w:rPr>
        <w:br/>
        <w:t>Быстрая и простая перестановка между распределительным устройством для извести и удобрений</w:t>
      </w:r>
    </w:p>
    <w:p w14:paraId="6A06F47D" w14:textId="3CE212FB" w:rsidR="00780B70" w:rsidRPr="00780B70" w:rsidRDefault="00780B70" w:rsidP="00780B70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Идеальные картины распределения </w:t>
      </w:r>
      <w:r>
        <w:rPr>
          <w:rFonts w:ascii="Arial" w:hAnsi="Arial"/>
          <w:b/>
        </w:rPr>
        <w:br/>
      </w:r>
      <w:r>
        <w:rPr>
          <w:rFonts w:ascii="Arial" w:hAnsi="Arial"/>
        </w:rPr>
        <w:t>Прецизионное поперечное распределение удобрений и извести благодаря известному распределительному устройству TS и распределительному устройству для извести новой разработки</w:t>
      </w:r>
    </w:p>
    <w:p w14:paraId="27DE4A1C" w14:textId="5F0A60E1" w:rsidR="00780B70" w:rsidRPr="00780B70" w:rsidRDefault="00780B70" w:rsidP="00780B70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Идеальное пограничное распределение </w:t>
      </w:r>
      <w:r>
        <w:rPr>
          <w:rFonts w:ascii="Arial" w:hAnsi="Arial"/>
          <w:b/>
        </w:rPr>
        <w:br/>
      </w:r>
      <w:r>
        <w:rPr>
          <w:rFonts w:ascii="Arial" w:hAnsi="Arial"/>
        </w:rPr>
        <w:t xml:space="preserve">До 17 % прибавки урожайности на краю поля с системой пограничного распределения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– доказано в результате полевых опытов Innovation </w:t>
      </w:r>
      <w:proofErr w:type="spellStart"/>
      <w:r>
        <w:rPr>
          <w:rFonts w:ascii="Arial" w:hAnsi="Arial"/>
        </w:rPr>
        <w:t>Farm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Визельбург</w:t>
      </w:r>
      <w:proofErr w:type="spellEnd"/>
    </w:p>
    <w:p w14:paraId="7C5B29AD" w14:textId="23206C54" w:rsidR="00161FDD" w:rsidRDefault="00780B70" w:rsidP="00780B70">
      <w:pPr>
        <w:pStyle w:val="Listenabsatz"/>
        <w:numPr>
          <w:ilvl w:val="0"/>
          <w:numId w:val="1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Максимальная действенность</w:t>
      </w:r>
      <w:r>
        <w:rPr>
          <w:rFonts w:ascii="Arial" w:hAnsi="Arial"/>
          <w:b/>
        </w:rPr>
        <w:br/>
      </w:r>
      <w:r>
        <w:rPr>
          <w:rFonts w:ascii="Arial" w:hAnsi="Arial"/>
        </w:rPr>
        <w:t>Ширина захвата до 54 м, объём 11.200 л и нагрузка 1</w:t>
      </w:r>
      <w:r w:rsidR="006D6F79" w:rsidRPr="00425CE7">
        <w:rPr>
          <w:rFonts w:ascii="Arial" w:hAnsi="Arial"/>
        </w:rPr>
        <w:t>7</w:t>
      </w:r>
      <w:r>
        <w:rPr>
          <w:rFonts w:ascii="Arial" w:hAnsi="Arial"/>
        </w:rPr>
        <w:t xml:space="preserve"> т</w:t>
      </w:r>
    </w:p>
    <w:p w14:paraId="08BFF0E0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717E96" w14:textId="77777777" w:rsidR="00291CF4" w:rsidRDefault="00291CF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054908" w14:textId="77777777" w:rsidR="00291CF4" w:rsidRDefault="00291CF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22D455" w14:textId="33890612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ABABF53" wp14:editId="40F5C6F3">
            <wp:extent cx="3477600" cy="2880000"/>
            <wp:effectExtent l="0" t="0" r="2540" b="3175"/>
            <wp:docPr id="3921683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168313" name="Grafik 3921683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FFB4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Новый прицепной комбинированный распределитель ZG-TX 11200 Super с максимальным объёмом при большой ширине захвата</w:t>
      </w:r>
    </w:p>
    <w:p w14:paraId="318BF51D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C1F906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7086F8" w14:textId="01F812D2" w:rsidR="008E229C" w:rsidRDefault="008E229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4F6AC2D" wp14:editId="7F8BA449">
            <wp:extent cx="1440000" cy="1440000"/>
            <wp:effectExtent l="0" t="0" r="0" b="0"/>
            <wp:docPr id="2954046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404674" name="Grafik 29540467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7254F" w14:textId="77777777" w:rsidR="00780B70" w:rsidRPr="008E229C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color w:val="000000" w:themeColor="text1"/>
        </w:rPr>
      </w:pPr>
      <w:r>
        <w:rPr>
          <w:rFonts w:ascii="Arial" w:hAnsi="Arial"/>
          <w:color w:val="000000" w:themeColor="text1"/>
        </w:rPr>
        <w:t xml:space="preserve">Видео работы ZG-TX: </w:t>
      </w:r>
    </w:p>
    <w:p w14:paraId="53D8E5AF" w14:textId="77777777" w:rsidR="008E229C" w:rsidRPr="008E229C" w:rsidRDefault="008E229C" w:rsidP="008E229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color w:val="000000" w:themeColor="text1"/>
        </w:rPr>
      </w:pPr>
      <w:r>
        <w:rPr>
          <w:rFonts w:ascii="Arial" w:hAnsi="Arial"/>
          <w:b/>
          <w:color w:val="000000" w:themeColor="text1"/>
        </w:rPr>
        <w:t>www.amazone.net/yt-zg-tx</w:t>
      </w:r>
    </w:p>
    <w:p w14:paraId="060F0B91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D5A3B3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34A336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E2D9E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4A7ADC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93925A" w14:textId="2DD2CE06" w:rsidR="00874555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B368FBA" wp14:editId="1C45E884">
            <wp:extent cx="6120000" cy="2109600"/>
            <wp:effectExtent l="0" t="0" r="1905" b="0"/>
            <wp:docPr id="184471758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717585" name="Grafik 184471758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D900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Установленная справа по направлению движения система пограничного распределения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способствует максимальной урожайности вплоть до границ поля и задает новые масштабы в сегменте комбинированных распределителей.</w:t>
      </w:r>
    </w:p>
    <w:p w14:paraId="4DC9157D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A24A3E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BC0F68" w14:textId="1AED5789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E43D546" wp14:editId="0400583E">
            <wp:extent cx="6120000" cy="2109600"/>
            <wp:effectExtent l="0" t="0" r="1905" b="0"/>
            <wp:docPr id="141489432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894321" name="Grafik 14148943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2699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Пограничный щиток для извести новой разработки способствует точной обработке вплоть до границ поля.</w:t>
      </w:r>
    </w:p>
    <w:p w14:paraId="5CD4D148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F9BDC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6A54F7" w14:textId="081FCA9F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E34B922" wp14:editId="0E2A3357">
            <wp:extent cx="2646000" cy="2250000"/>
            <wp:effectExtent l="0" t="0" r="0" b="0"/>
            <wp:docPr id="102862578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625784" name="Grafik 102862578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22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46ACE5DE" wp14:editId="42E60A69">
            <wp:extent cx="2642400" cy="2250000"/>
            <wp:effectExtent l="0" t="0" r="0" b="0"/>
            <wp:docPr id="49738174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381740" name="Grafik 49738174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400" cy="22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36CC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перехода от режима внесения удобрений </w:t>
      </w:r>
      <w:r>
        <w:rPr>
          <w:rFonts w:ascii="Arial" w:hAnsi="Arial"/>
          <w:b/>
        </w:rPr>
        <w:t>(</w:t>
      </w:r>
      <w:proofErr w:type="gramStart"/>
      <w:r>
        <w:rPr>
          <w:rFonts w:ascii="Arial" w:hAnsi="Arial"/>
          <w:b/>
        </w:rPr>
        <w:t xml:space="preserve">слева) </w:t>
      </w:r>
      <w:r>
        <w:rPr>
          <w:rFonts w:ascii="Arial" w:hAnsi="Arial"/>
        </w:rPr>
        <w:t xml:space="preserve"> к</w:t>
      </w:r>
      <w:proofErr w:type="gramEnd"/>
      <w:r>
        <w:rPr>
          <w:rFonts w:ascii="Arial" w:hAnsi="Arial"/>
        </w:rPr>
        <w:t xml:space="preserve"> действенному режиму внесения извести </w:t>
      </w:r>
      <w:r>
        <w:rPr>
          <w:rFonts w:ascii="Arial" w:hAnsi="Arial"/>
          <w:b/>
        </w:rPr>
        <w:t xml:space="preserve">(справа) </w:t>
      </w:r>
      <w:r>
        <w:rPr>
          <w:rFonts w:ascii="Arial" w:hAnsi="Arial"/>
        </w:rPr>
        <w:t xml:space="preserve"> требуется заменить всего несколько деталей.</w:t>
      </w:r>
    </w:p>
    <w:p w14:paraId="584C643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17CAC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04DF1B" w14:textId="24F6E6B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EFDBFF1" wp14:editId="1CCEC19B">
            <wp:extent cx="6120000" cy="2109600"/>
            <wp:effectExtent l="0" t="0" r="1905" b="0"/>
            <wp:docPr id="58695526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955260" name="Grafik 58695526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5EADE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Взаимодействие ленточного транспортера и двойных заслонок позволяет проводить точное дозирование независимо от стороны. Распределительное устройство TS с приводом от ВОМ обеспечивает прецизионные картины распределения при ширине захвата до 54 м. </w:t>
      </w:r>
    </w:p>
    <w:p w14:paraId="2FCAAB4B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F7F80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22F850" w14:textId="2E3DA23E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D85FD9E" wp14:editId="481305B5">
            <wp:extent cx="4622400" cy="2880000"/>
            <wp:effectExtent l="0" t="0" r="635" b="3175"/>
            <wp:docPr id="173278911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789112" name="Grafik 17327891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0A3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ZG-TX 6800 Special</w:t>
      </w:r>
    </w:p>
    <w:p w14:paraId="744FFCE0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41DB2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A458FF" w14:textId="016020F9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DDAA86" wp14:editId="70174731">
            <wp:extent cx="4676400" cy="2880000"/>
            <wp:effectExtent l="0" t="0" r="0" b="3175"/>
            <wp:docPr id="6527801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78017" name="Grafik 652780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7FFA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ZG-TX 11200 Super</w:t>
      </w:r>
    </w:p>
    <w:p w14:paraId="48022D5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31F26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B323A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3595D9" w14:textId="58AFE313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EA73BA6" wp14:editId="4529CFD7">
            <wp:extent cx="4053600" cy="2880000"/>
            <wp:effectExtent l="0" t="0" r="0" b="3175"/>
            <wp:docPr id="611268397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268397" name="Grafik 61126839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7596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Простейшая система управления с помощью специфического для машины компьютера управления </w:t>
      </w:r>
      <w:proofErr w:type="spellStart"/>
      <w:r>
        <w:rPr>
          <w:rFonts w:ascii="Arial" w:hAnsi="Arial"/>
        </w:rPr>
        <w:t>EasySet</w:t>
      </w:r>
      <w:proofErr w:type="spellEnd"/>
      <w:r>
        <w:rPr>
          <w:rFonts w:ascii="Arial" w:hAnsi="Arial"/>
        </w:rPr>
        <w:t xml:space="preserve"> 2</w:t>
      </w:r>
    </w:p>
    <w:p w14:paraId="3303ABC5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6FF571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151412" w14:textId="173D1CAB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E81831F" wp14:editId="1BDB3FC3">
            <wp:extent cx="4053600" cy="2880000"/>
            <wp:effectExtent l="0" t="0" r="0" b="3175"/>
            <wp:docPr id="172959213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592136" name="Grafik 172959213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37B3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Интуитивное управление с новым программным обеспечением ISOBUS</w:t>
      </w:r>
    </w:p>
    <w:p w14:paraId="1389BBC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6EF5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7B653F" w14:textId="01579444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7DFA050" wp14:editId="270F9531">
            <wp:extent cx="3477600" cy="2880000"/>
            <wp:effectExtent l="0" t="0" r="2540" b="3175"/>
            <wp:docPr id="44187024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870249" name="Grafik 44187024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0881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ZG-TX 11200 Super: Действенное внесение извести с полезной нагрузкой 17 т и шириной захвата до 16 м</w:t>
      </w:r>
    </w:p>
    <w:p w14:paraId="00D00F95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41D51A07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21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4CD01A6E">
            <wp:extent cx="241300" cy="241300"/>
            <wp:effectExtent l="0" t="0" r="6350" b="6350"/>
            <wp:docPr id="13" name="Grafik 1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D944962">
            <wp:extent cx="241300" cy="241300"/>
            <wp:effectExtent l="0" t="0" r="6350" b="6350"/>
            <wp:docPr id="12" name="Grafik 1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5425EA24">
            <wp:extent cx="241300" cy="241300"/>
            <wp:effectExtent l="0" t="0" r="6350" b="6350"/>
            <wp:docPr id="11" name="Grafik 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111B01EF">
            <wp:extent cx="241300" cy="241300"/>
            <wp:effectExtent l="0" t="0" r="6350" b="6350"/>
            <wp:docPr id="10" name="Grafik 1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138FDCEC">
            <wp:extent cx="241300" cy="241300"/>
            <wp:effectExtent l="0" t="0" r="6350" b="6350"/>
            <wp:docPr id="7" name="Grafik 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988DB8" w14:textId="77777777" w:rsidR="00552866" w:rsidRDefault="00552866">
      <w:r>
        <w:separator/>
      </w:r>
    </w:p>
  </w:endnote>
  <w:endnote w:type="continuationSeparator" w:id="0">
    <w:p w14:paraId="5D1D5A82" w14:textId="77777777" w:rsidR="00552866" w:rsidRDefault="005528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F65208" w14:textId="77777777" w:rsidR="00552866" w:rsidRDefault="00552866">
      <w:r>
        <w:separator/>
      </w:r>
    </w:p>
  </w:footnote>
  <w:footnote w:type="continuationSeparator" w:id="0">
    <w:p w14:paraId="223F5125" w14:textId="77777777" w:rsidR="00552866" w:rsidRDefault="005528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2"/>
  </w:num>
  <w:num w:numId="8" w16cid:durableId="294531490">
    <w:abstractNumId w:val="11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0"/>
  </w:num>
  <w:num w:numId="12" w16cid:durableId="636498599">
    <w:abstractNumId w:val="13"/>
  </w:num>
  <w:num w:numId="13" w16cid:durableId="118423553">
    <w:abstractNumId w:val="18"/>
  </w:num>
  <w:num w:numId="14" w16cid:durableId="1499079657">
    <w:abstractNumId w:val="14"/>
  </w:num>
  <w:num w:numId="15" w16cid:durableId="556353878">
    <w:abstractNumId w:val="16"/>
  </w:num>
  <w:num w:numId="16" w16cid:durableId="1202472297">
    <w:abstractNumId w:val="3"/>
  </w:num>
  <w:num w:numId="17" w16cid:durableId="50662991">
    <w:abstractNumId w:val="15"/>
  </w:num>
  <w:num w:numId="18" w16cid:durableId="57364874">
    <w:abstractNumId w:val="17"/>
  </w:num>
  <w:num w:numId="19" w16cid:durableId="2700919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134E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1CF4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2122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25CE7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866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4551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6F79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1AC7"/>
    <w:rsid w:val="008E2078"/>
    <w:rsid w:val="008E229C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3E17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4D2F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9" Type="http://schemas.openxmlformats.org/officeDocument/2006/relationships/footer" Target="footer1.xml"/><Relationship Id="rId21" Type="http://schemas.openxmlformats.org/officeDocument/2006/relationships/hyperlink" Target="http://www.amazone.ru" TargetMode="External"/><Relationship Id="rId34" Type="http://schemas.openxmlformats.org/officeDocument/2006/relationships/hyperlink" Target="https://www.xing.com/company/amazone" TargetMode="External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6.jpe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FB_70d43fd1-a841-4de4-bbaa-3e1f495f95d3.jpg" TargetMode="External"/><Relationship Id="rId32" Type="http://schemas.openxmlformats.org/officeDocument/2006/relationships/image" Target="media/image17.jpe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www.youtube.com/user/amazonede" TargetMode="External"/><Relationship Id="rId36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linkedin.com/company/amazone-group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facebook.com/amazone.group" TargetMode="External"/><Relationship Id="rId27" Type="http://schemas.openxmlformats.org/officeDocument/2006/relationships/image" Target="cid:IG_efb650a7-31e4-4674-98db-f2d2d5c58dce.jpg" TargetMode="External"/><Relationship Id="rId30" Type="http://schemas.openxmlformats.org/officeDocument/2006/relationships/image" Target="cid:YT_e9180d16-5a2b-4618-92e9-22a015f9cafb.jpg" TargetMode="External"/><Relationship Id="rId35" Type="http://schemas.openxmlformats.org/officeDocument/2006/relationships/image" Target="media/image18.jpeg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instagram.com/amazone_group" TargetMode="External"/><Relationship Id="rId33" Type="http://schemas.openxmlformats.org/officeDocument/2006/relationships/image" Target="cid:LinkedIn_80de4e9c-c7a3-41e3-8e11-063f7eace13d.jpg" TargetMode="External"/><Relationship Id="rId38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1471</Words>
  <Characters>9274</Characters>
  <Application>Microsoft Office Word</Application>
  <DocSecurity>0</DocSecurity>
  <Lines>77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10724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2023-12-08T11:28:00Z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