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F4073" w14:textId="010F4C17" w:rsidR="00780B70" w:rsidRPr="00780B70" w:rsidRDefault="00420C2E" w:rsidP="00420C2E">
      <w:pPr>
        <w:spacing w:after="120" w:line="360" w:lineRule="auto"/>
        <w:ind w:left="567" w:right="1695"/>
        <w:rPr>
          <w:rFonts w:ascii="Arial" w:hAnsi="Arial" w:cs="Arial"/>
          <w:b/>
          <w:bCs/>
          <w:sz w:val="28"/>
          <w:szCs w:val="28"/>
        </w:rPr>
      </w:pPr>
      <w:proofErr w:type="spellStart"/>
      <w:r w:rsidRPr="00420C2E">
        <w:rPr>
          <w:rFonts w:ascii="Arial" w:hAnsi="Arial" w:cs="Arial"/>
          <w:b/>
          <w:bCs/>
          <w:sz w:val="28"/>
          <w:szCs w:val="28"/>
        </w:rPr>
        <w:t>DirectInject</w:t>
      </w:r>
      <w:proofErr w:type="spellEnd"/>
      <w:r w:rsidRPr="00420C2E">
        <w:rPr>
          <w:rFonts w:ascii="Arial" w:hAnsi="Arial" w:cs="Arial"/>
          <w:b/>
          <w:bCs/>
          <w:sz w:val="28"/>
          <w:szCs w:val="28"/>
        </w:rPr>
        <w:t xml:space="preserve"> für selbstfahrende Feldspritze Pantera</w:t>
      </w:r>
    </w:p>
    <w:p w14:paraId="70B8693C" w14:textId="77777777" w:rsidR="00420C2E" w:rsidRPr="00420C2E" w:rsidRDefault="00420C2E" w:rsidP="00420C2E">
      <w:pPr>
        <w:spacing w:line="360" w:lineRule="auto"/>
        <w:ind w:left="567" w:right="1695"/>
        <w:rPr>
          <w:rFonts w:ascii="Arial" w:hAnsi="Arial" w:cs="Arial"/>
          <w:b/>
          <w:bCs/>
        </w:rPr>
      </w:pPr>
      <w:r w:rsidRPr="00420C2E">
        <w:rPr>
          <w:rFonts w:ascii="Arial" w:hAnsi="Arial" w:cs="Arial"/>
          <w:b/>
          <w:bCs/>
        </w:rPr>
        <w:t>Bedarfsgerechte Zudosierung von Produkten auf Knopfdruck</w:t>
      </w:r>
    </w:p>
    <w:p w14:paraId="65EA582A" w14:textId="77777777" w:rsidR="00161FDD" w:rsidRDefault="00161FDD" w:rsidP="00161FDD">
      <w:pPr>
        <w:spacing w:line="360" w:lineRule="auto"/>
        <w:ind w:left="567" w:right="1695"/>
        <w:rPr>
          <w:rFonts w:ascii="Arial" w:hAnsi="Arial" w:cs="Arial"/>
        </w:rPr>
      </w:pPr>
    </w:p>
    <w:p w14:paraId="2745A8A7" w14:textId="77777777" w:rsidR="00420C2E" w:rsidRPr="00420C2E" w:rsidRDefault="00420C2E" w:rsidP="00420C2E">
      <w:pPr>
        <w:spacing w:after="120" w:line="360" w:lineRule="auto"/>
        <w:ind w:left="567" w:right="1695"/>
        <w:rPr>
          <w:rFonts w:ascii="Arial" w:eastAsia="Arial" w:hAnsi="Arial" w:cs="Arial"/>
        </w:rPr>
      </w:pPr>
      <w:r w:rsidRPr="00420C2E">
        <w:rPr>
          <w:rFonts w:ascii="Arial" w:eastAsia="Arial" w:hAnsi="Arial" w:cs="Arial"/>
        </w:rPr>
        <w:t xml:space="preserve">Die Pantera 4504 und 7004 gibt es jetzt neu mit der </w:t>
      </w:r>
      <w:proofErr w:type="spellStart"/>
      <w:r w:rsidRPr="00420C2E">
        <w:rPr>
          <w:rFonts w:ascii="Arial" w:eastAsia="Arial" w:hAnsi="Arial" w:cs="Arial"/>
        </w:rPr>
        <w:t>Direkteinpeisung</w:t>
      </w:r>
      <w:proofErr w:type="spellEnd"/>
      <w:r w:rsidRPr="00420C2E">
        <w:rPr>
          <w:rFonts w:ascii="Arial" w:eastAsia="Arial" w:hAnsi="Arial" w:cs="Arial"/>
        </w:rPr>
        <w:t xml:space="preserve"> </w:t>
      </w:r>
      <w:proofErr w:type="spellStart"/>
      <w:r w:rsidRPr="00420C2E">
        <w:rPr>
          <w:rFonts w:ascii="Arial" w:eastAsia="Arial" w:hAnsi="Arial" w:cs="Arial"/>
        </w:rPr>
        <w:t>DirectInject</w:t>
      </w:r>
      <w:proofErr w:type="spellEnd"/>
      <w:r w:rsidRPr="00420C2E">
        <w:rPr>
          <w:rFonts w:ascii="Arial" w:eastAsia="Arial" w:hAnsi="Arial" w:cs="Arial"/>
        </w:rPr>
        <w:t xml:space="preserve"> um Einzelprodukte flexibel, schnell und bedarfsgerecht einzuspeisen.</w:t>
      </w:r>
    </w:p>
    <w:p w14:paraId="3663CB23" w14:textId="77777777" w:rsidR="00420C2E" w:rsidRPr="00420C2E" w:rsidRDefault="00420C2E" w:rsidP="00420C2E">
      <w:pPr>
        <w:spacing w:after="120" w:line="360" w:lineRule="auto"/>
        <w:ind w:left="567" w:right="1695"/>
        <w:rPr>
          <w:rFonts w:ascii="Arial" w:eastAsia="Arial" w:hAnsi="Arial" w:cs="Arial"/>
        </w:rPr>
      </w:pPr>
    </w:p>
    <w:p w14:paraId="2D74C798" w14:textId="77777777" w:rsidR="00420C2E" w:rsidRPr="00420C2E" w:rsidRDefault="00420C2E" w:rsidP="00420C2E">
      <w:pPr>
        <w:spacing w:after="120" w:line="360" w:lineRule="auto"/>
        <w:ind w:left="567" w:right="1695"/>
        <w:rPr>
          <w:rFonts w:ascii="Arial" w:eastAsia="Arial" w:hAnsi="Arial" w:cs="Arial"/>
        </w:rPr>
      </w:pPr>
      <w:r w:rsidRPr="00420C2E">
        <w:rPr>
          <w:rFonts w:ascii="Arial" w:eastAsia="Arial" w:hAnsi="Arial" w:cs="Arial"/>
        </w:rPr>
        <w:t xml:space="preserve">In Zeiten von wachsenden Anforderungen an den Pflanzenschutz in Bezug auf Reduzierung von Pflanzenschutzmitteln und steigenden Anwendungsauflagen bei gleichzeitigem Zeit- und Kostendruck innerhalb des Betriebs, bietet </w:t>
      </w:r>
      <w:proofErr w:type="spellStart"/>
      <w:r w:rsidRPr="00420C2E">
        <w:rPr>
          <w:rFonts w:ascii="Arial" w:eastAsia="Arial" w:hAnsi="Arial" w:cs="Arial"/>
        </w:rPr>
        <w:t>DirectInject</w:t>
      </w:r>
      <w:proofErr w:type="spellEnd"/>
      <w:r w:rsidRPr="00420C2E">
        <w:rPr>
          <w:rFonts w:ascii="Arial" w:eastAsia="Arial" w:hAnsi="Arial" w:cs="Arial"/>
        </w:rPr>
        <w:t xml:space="preserve"> eine hervorragende Erleichterung beim Umgang mit den heutigen und zukünftigen Herausforderungen.</w:t>
      </w:r>
    </w:p>
    <w:p w14:paraId="7419EFCD" w14:textId="77777777" w:rsidR="00420C2E" w:rsidRPr="00420C2E" w:rsidRDefault="00420C2E" w:rsidP="00420C2E">
      <w:pPr>
        <w:spacing w:after="120" w:line="360" w:lineRule="auto"/>
        <w:ind w:left="567" w:right="1695"/>
        <w:rPr>
          <w:rFonts w:ascii="Arial" w:eastAsia="Arial" w:hAnsi="Arial" w:cs="Arial"/>
        </w:rPr>
      </w:pPr>
    </w:p>
    <w:p w14:paraId="221186A8" w14:textId="77777777" w:rsidR="00420C2E" w:rsidRPr="00420C2E" w:rsidRDefault="00420C2E" w:rsidP="00420C2E">
      <w:pPr>
        <w:spacing w:after="120" w:line="360" w:lineRule="auto"/>
        <w:ind w:left="567" w:right="1695"/>
        <w:rPr>
          <w:rFonts w:ascii="Arial" w:eastAsia="Arial" w:hAnsi="Arial" w:cs="Arial"/>
        </w:rPr>
      </w:pPr>
      <w:r w:rsidRPr="00420C2E">
        <w:rPr>
          <w:rFonts w:ascii="Arial" w:eastAsia="Arial" w:hAnsi="Arial" w:cs="Arial"/>
        </w:rPr>
        <w:t xml:space="preserve">Während der Applikation kann der Spritzflüssigkeit per Knopfdruck ein zusätzliches Produkt zudosiert werden. Die Besonderheit von </w:t>
      </w:r>
      <w:proofErr w:type="spellStart"/>
      <w:r w:rsidRPr="00420C2E">
        <w:rPr>
          <w:rFonts w:ascii="Arial" w:eastAsia="Arial" w:hAnsi="Arial" w:cs="Arial"/>
        </w:rPr>
        <w:t>DirectInject</w:t>
      </w:r>
      <w:proofErr w:type="spellEnd"/>
      <w:r w:rsidRPr="00420C2E">
        <w:rPr>
          <w:rFonts w:ascii="Arial" w:eastAsia="Arial" w:hAnsi="Arial" w:cs="Arial"/>
        </w:rPr>
        <w:t xml:space="preserve"> ist die kurze Reaktionsstrecke von der Aktivierung bis zum Applizieren des Zusatzprodukts von nur etwa 30 – 50 m. Durch 2 separate Spritzleitungen für die Spritzflüssigkeit und die Spritzflüssigkeit + </w:t>
      </w:r>
      <w:proofErr w:type="spellStart"/>
      <w:r w:rsidRPr="00420C2E">
        <w:rPr>
          <w:rFonts w:ascii="Arial" w:eastAsia="Arial" w:hAnsi="Arial" w:cs="Arial"/>
        </w:rPr>
        <w:t>DirectInject</w:t>
      </w:r>
      <w:proofErr w:type="spellEnd"/>
      <w:r w:rsidRPr="00420C2E">
        <w:rPr>
          <w:rFonts w:ascii="Arial" w:eastAsia="Arial" w:hAnsi="Arial" w:cs="Arial"/>
        </w:rPr>
        <w:t xml:space="preserve">-Komponente wird das jeweilige Gemisch über mehrere Einspeisestellen im Gestänge zu den Düsenkörpern gefördert. Die beiden Spritzleitungen sind dabei über Ventile wechselseitig geschaltet, sodass immer nur eine Leitung aktiv Spritzflüssigkeit fördert. </w:t>
      </w:r>
    </w:p>
    <w:p w14:paraId="1567A630" w14:textId="77777777" w:rsidR="00420C2E" w:rsidRPr="00420C2E" w:rsidRDefault="00420C2E" w:rsidP="00420C2E">
      <w:pPr>
        <w:spacing w:after="120" w:line="360" w:lineRule="auto"/>
        <w:ind w:left="567" w:right="1695"/>
        <w:rPr>
          <w:rFonts w:ascii="Arial" w:eastAsia="Arial" w:hAnsi="Arial" w:cs="Arial"/>
        </w:rPr>
      </w:pPr>
    </w:p>
    <w:p w14:paraId="445F3A08" w14:textId="77777777" w:rsidR="00420C2E" w:rsidRPr="00420C2E" w:rsidRDefault="00420C2E" w:rsidP="00420C2E">
      <w:pPr>
        <w:spacing w:after="120" w:line="360" w:lineRule="auto"/>
        <w:ind w:left="567" w:right="1695"/>
        <w:rPr>
          <w:rFonts w:ascii="Arial" w:eastAsia="Arial" w:hAnsi="Arial" w:cs="Arial"/>
        </w:rPr>
      </w:pPr>
      <w:r w:rsidRPr="00420C2E">
        <w:rPr>
          <w:rFonts w:ascii="Arial" w:eastAsia="Arial" w:hAnsi="Arial" w:cs="Arial"/>
        </w:rPr>
        <w:t xml:space="preserve">Gerade für die flexible Behandlung von Unkrautnestern ist diese kurze Reaktionsstrecke unerlässlich. Weiterhin erleichtert das System den flexiblen Pflanzenschutzeinsatz in vielen Alltagssituationen, beispielsweise der gesonderten Behandlung an Feldrändern, der Zudosierung von Produkten auf Einzelflächen mit speziellen Anforderungen sowie der variablen Ausbringmenge eines Produkts, unabhängig von der Ausbringmenge der Hauptmischung. </w:t>
      </w:r>
    </w:p>
    <w:p w14:paraId="14422066" w14:textId="77777777" w:rsidR="00420C2E" w:rsidRPr="00420C2E" w:rsidRDefault="00420C2E" w:rsidP="00420C2E">
      <w:pPr>
        <w:spacing w:after="120" w:line="360" w:lineRule="auto"/>
        <w:ind w:left="567" w:right="1695"/>
        <w:rPr>
          <w:rFonts w:ascii="Arial" w:eastAsia="Arial" w:hAnsi="Arial" w:cs="Arial"/>
        </w:rPr>
      </w:pPr>
    </w:p>
    <w:p w14:paraId="47E19437" w14:textId="77777777" w:rsidR="00420C2E" w:rsidRPr="00420C2E" w:rsidRDefault="00420C2E" w:rsidP="00420C2E">
      <w:pPr>
        <w:spacing w:after="120" w:line="360" w:lineRule="auto"/>
        <w:ind w:left="567" w:right="1695"/>
        <w:rPr>
          <w:rFonts w:ascii="Arial" w:eastAsia="Arial" w:hAnsi="Arial" w:cs="Arial"/>
        </w:rPr>
      </w:pPr>
      <w:r w:rsidRPr="00420C2E">
        <w:rPr>
          <w:rFonts w:ascii="Arial" w:eastAsia="Arial" w:hAnsi="Arial" w:cs="Arial"/>
        </w:rPr>
        <w:lastRenderedPageBreak/>
        <w:t>Dank der vollständigen Integration des Systems in Flüssigkeitskreislauf und Bedienung ist die zuverlässige Reinigung problemlos von der Kabine aus durchführbar.</w:t>
      </w:r>
    </w:p>
    <w:p w14:paraId="33FFCD6F" w14:textId="77777777" w:rsidR="00420C2E" w:rsidRPr="00420C2E" w:rsidRDefault="00420C2E" w:rsidP="00420C2E">
      <w:pPr>
        <w:spacing w:after="120" w:line="360" w:lineRule="auto"/>
        <w:ind w:left="567" w:right="1695"/>
        <w:rPr>
          <w:rFonts w:ascii="Arial" w:eastAsia="Arial" w:hAnsi="Arial" w:cs="Arial"/>
        </w:rPr>
      </w:pPr>
    </w:p>
    <w:p w14:paraId="7778F1CA" w14:textId="77777777" w:rsidR="00420C2E" w:rsidRPr="00420C2E" w:rsidRDefault="00420C2E" w:rsidP="00420C2E">
      <w:pPr>
        <w:spacing w:after="120" w:line="360" w:lineRule="auto"/>
        <w:ind w:left="567" w:right="1695"/>
        <w:rPr>
          <w:rFonts w:ascii="Arial" w:eastAsia="Arial" w:hAnsi="Arial" w:cs="Arial"/>
        </w:rPr>
      </w:pPr>
      <w:r w:rsidRPr="00420C2E">
        <w:rPr>
          <w:rFonts w:ascii="Arial" w:eastAsia="Arial" w:hAnsi="Arial" w:cs="Arial"/>
        </w:rPr>
        <w:t xml:space="preserve">Insbesondere die selbstfahrende Spritze, die dank ihrer hohen Bodenfreiheit und der hydraulischen Spurweitenverstellung neben Großbetrieben oft auch von Lohnunternehmen genutzt wird, gewinnt mit </w:t>
      </w:r>
      <w:proofErr w:type="spellStart"/>
      <w:r w:rsidRPr="00420C2E">
        <w:rPr>
          <w:rFonts w:ascii="Arial" w:eastAsia="Arial" w:hAnsi="Arial" w:cs="Arial"/>
        </w:rPr>
        <w:t>DirectInject</w:t>
      </w:r>
      <w:proofErr w:type="spellEnd"/>
      <w:r w:rsidRPr="00420C2E">
        <w:rPr>
          <w:rFonts w:ascii="Arial" w:eastAsia="Arial" w:hAnsi="Arial" w:cs="Arial"/>
        </w:rPr>
        <w:t xml:space="preserve"> eine zusätzliche, enorme Steigerung an Flexibilität und Effizienz.</w:t>
      </w:r>
    </w:p>
    <w:p w14:paraId="2E7134DD" w14:textId="77777777" w:rsidR="00677DC1" w:rsidRDefault="00677DC1" w:rsidP="00677DC1">
      <w:pPr>
        <w:spacing w:after="120" w:line="360" w:lineRule="auto"/>
        <w:ind w:left="567" w:right="1695"/>
        <w:rPr>
          <w:rFonts w:ascii="Arial" w:eastAsia="Arial" w:hAnsi="Arial" w:cs="Arial"/>
        </w:rPr>
      </w:pPr>
    </w:p>
    <w:p w14:paraId="239B4C25" w14:textId="77777777" w:rsidR="00677DC1" w:rsidRPr="00677DC1" w:rsidRDefault="00677DC1"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35538D5D" w14:textId="472C03DF" w:rsidR="00420C2E" w:rsidRPr="005B1D45" w:rsidRDefault="00420C2E" w:rsidP="005B1D45">
      <w:pPr>
        <w:pStyle w:val="Listenabsatz"/>
        <w:numPr>
          <w:ilvl w:val="0"/>
          <w:numId w:val="28"/>
        </w:numPr>
        <w:spacing w:after="120" w:line="360" w:lineRule="auto"/>
        <w:ind w:right="1695"/>
        <w:rPr>
          <w:rFonts w:ascii="Arial" w:eastAsia="Arial" w:hAnsi="Arial" w:cs="Arial"/>
        </w:rPr>
      </w:pPr>
      <w:r w:rsidRPr="005B1D45">
        <w:rPr>
          <w:rFonts w:ascii="Arial" w:eastAsia="Arial" w:hAnsi="Arial" w:cs="Arial"/>
        </w:rPr>
        <w:t>Flexibler, schneller und bedarfsgerechter Einsatz von Pflanzenschutzmitteln</w:t>
      </w:r>
    </w:p>
    <w:p w14:paraId="6162EC12" w14:textId="101DF08B" w:rsidR="00420C2E" w:rsidRPr="005B1D45" w:rsidRDefault="00420C2E" w:rsidP="005B1D45">
      <w:pPr>
        <w:pStyle w:val="Listenabsatz"/>
        <w:numPr>
          <w:ilvl w:val="0"/>
          <w:numId w:val="28"/>
        </w:numPr>
        <w:spacing w:after="120" w:line="360" w:lineRule="auto"/>
        <w:ind w:right="1695"/>
        <w:rPr>
          <w:rFonts w:ascii="Arial" w:eastAsia="Arial" w:hAnsi="Arial" w:cs="Arial"/>
        </w:rPr>
      </w:pPr>
      <w:r w:rsidRPr="005B1D45">
        <w:rPr>
          <w:rFonts w:ascii="Arial" w:eastAsia="Arial" w:hAnsi="Arial" w:cs="Arial"/>
        </w:rPr>
        <w:t xml:space="preserve">Einsparung von: </w:t>
      </w:r>
      <w:r w:rsidRPr="005B1D45">
        <w:rPr>
          <w:rFonts w:ascii="Arial" w:eastAsia="Arial" w:hAnsi="Arial" w:cs="Arial"/>
        </w:rPr>
        <w:br/>
        <w:t>• Arbeitszeit und Arbeitskosten</w:t>
      </w:r>
      <w:r w:rsidRPr="005B1D45">
        <w:rPr>
          <w:rFonts w:ascii="Arial" w:eastAsia="Arial" w:hAnsi="Arial" w:cs="Arial"/>
        </w:rPr>
        <w:br/>
        <w:t>• Maschinenkosten</w:t>
      </w:r>
      <w:r w:rsidRPr="005B1D45">
        <w:rPr>
          <w:rFonts w:ascii="Arial" w:eastAsia="Arial" w:hAnsi="Arial" w:cs="Arial"/>
        </w:rPr>
        <w:br/>
        <w:t>• Pflanzenschutzmitteln</w:t>
      </w:r>
    </w:p>
    <w:p w14:paraId="2B074CBA" w14:textId="5D30E2C5" w:rsidR="00420C2E" w:rsidRPr="005B1D45" w:rsidRDefault="00420C2E" w:rsidP="005B1D45">
      <w:pPr>
        <w:pStyle w:val="Listenabsatz"/>
        <w:numPr>
          <w:ilvl w:val="0"/>
          <w:numId w:val="28"/>
        </w:numPr>
        <w:spacing w:after="120" w:line="360" w:lineRule="auto"/>
        <w:ind w:right="1695"/>
        <w:rPr>
          <w:rFonts w:ascii="Arial" w:eastAsia="Arial" w:hAnsi="Arial" w:cs="Arial"/>
        </w:rPr>
      </w:pPr>
      <w:r w:rsidRPr="005B1D45">
        <w:rPr>
          <w:rFonts w:ascii="Arial" w:eastAsia="Arial" w:hAnsi="Arial" w:cs="Arial"/>
        </w:rPr>
        <w:t>Umweltschonend</w:t>
      </w:r>
    </w:p>
    <w:p w14:paraId="52173B69" w14:textId="214CC2D5" w:rsidR="00420C2E" w:rsidRPr="005B1D45" w:rsidRDefault="00420C2E" w:rsidP="005B1D45">
      <w:pPr>
        <w:pStyle w:val="Listenabsatz"/>
        <w:numPr>
          <w:ilvl w:val="0"/>
          <w:numId w:val="28"/>
        </w:numPr>
        <w:spacing w:after="120" w:line="360" w:lineRule="auto"/>
        <w:ind w:right="1695"/>
        <w:rPr>
          <w:rFonts w:ascii="Arial" w:eastAsia="Arial" w:hAnsi="Arial" w:cs="Arial"/>
        </w:rPr>
      </w:pPr>
      <w:r w:rsidRPr="005B1D45">
        <w:rPr>
          <w:rFonts w:ascii="Arial" w:eastAsia="Arial" w:hAnsi="Arial" w:cs="Arial"/>
        </w:rPr>
        <w:t>Selbstfahrer und Direkteinspeisung als perfekte Kombination für maximale Effizienz und Flexibilität</w:t>
      </w:r>
    </w:p>
    <w:p w14:paraId="0BB2E8B6" w14:textId="77777777" w:rsidR="00496488" w:rsidRDefault="00496488" w:rsidP="00161FDD">
      <w:pPr>
        <w:spacing w:after="120" w:line="360" w:lineRule="auto"/>
        <w:ind w:left="567" w:right="1695"/>
        <w:rPr>
          <w:rFonts w:ascii="Arial" w:eastAsia="Arial" w:hAnsi="Arial" w:cs="Arial"/>
        </w:rPr>
      </w:pPr>
    </w:p>
    <w:p w14:paraId="26E6A580" w14:textId="77777777" w:rsidR="00677DC1" w:rsidRDefault="00677DC1" w:rsidP="00161FDD">
      <w:pPr>
        <w:tabs>
          <w:tab w:val="left" w:pos="3550"/>
        </w:tabs>
        <w:spacing w:line="360" w:lineRule="auto"/>
        <w:ind w:left="567" w:right="1128"/>
        <w:rPr>
          <w:rFonts w:ascii="Arial" w:eastAsia="Arial" w:hAnsi="Arial" w:cs="Arial"/>
        </w:rPr>
      </w:pPr>
    </w:p>
    <w:p w14:paraId="22E126C8" w14:textId="5CBF530D" w:rsidR="00677DC1" w:rsidRDefault="008160E8" w:rsidP="00161FDD">
      <w:pPr>
        <w:tabs>
          <w:tab w:val="left" w:pos="3550"/>
        </w:tabs>
        <w:spacing w:line="360" w:lineRule="auto"/>
        <w:ind w:left="567" w:right="1128"/>
        <w:rPr>
          <w:rFonts w:ascii="Arial" w:eastAsia="Arial" w:hAnsi="Arial" w:cs="Arial"/>
        </w:rPr>
      </w:pPr>
      <w:r>
        <w:rPr>
          <w:rFonts w:ascii="Arial" w:eastAsia="Arial" w:hAnsi="Arial" w:cs="Arial"/>
          <w:noProof/>
        </w:rPr>
        <w:lastRenderedPageBreak/>
        <w:drawing>
          <wp:inline distT="0" distB="0" distL="0" distR="0" wp14:anchorId="32E1F1B1" wp14:editId="1B4A6E84">
            <wp:extent cx="3477600" cy="2880000"/>
            <wp:effectExtent l="0" t="0" r="2540" b="3175"/>
            <wp:docPr id="54178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8441" name="Grafik 54178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E920D71" w14:textId="77777777" w:rsidR="008160E8" w:rsidRPr="008160E8" w:rsidRDefault="008160E8" w:rsidP="008160E8">
      <w:pPr>
        <w:tabs>
          <w:tab w:val="left" w:pos="3550"/>
        </w:tabs>
        <w:spacing w:line="360" w:lineRule="auto"/>
        <w:ind w:left="567" w:right="1128"/>
        <w:rPr>
          <w:rFonts w:ascii="Arial" w:eastAsia="Arial" w:hAnsi="Arial" w:cs="Arial"/>
        </w:rPr>
      </w:pPr>
      <w:proofErr w:type="spellStart"/>
      <w:r w:rsidRPr="008160E8">
        <w:rPr>
          <w:rFonts w:ascii="Arial" w:eastAsia="Arial" w:hAnsi="Arial" w:cs="Arial"/>
        </w:rPr>
        <w:t>DirectInject</w:t>
      </w:r>
      <w:proofErr w:type="spellEnd"/>
      <w:r w:rsidRPr="008160E8">
        <w:rPr>
          <w:rFonts w:ascii="Arial" w:eastAsia="Arial" w:hAnsi="Arial" w:cs="Arial"/>
        </w:rPr>
        <w:t xml:space="preserve"> auf der Pantera 4504 zwischen Kabine und Spritzflüssigkeitstank</w:t>
      </w: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5A9ADC4" w14:textId="77777777" w:rsidR="008160E8" w:rsidRDefault="008160E8" w:rsidP="00161FDD">
      <w:pPr>
        <w:tabs>
          <w:tab w:val="left" w:pos="3550"/>
        </w:tabs>
        <w:spacing w:line="360" w:lineRule="auto"/>
        <w:ind w:left="567" w:right="1128"/>
        <w:rPr>
          <w:rFonts w:ascii="Arial" w:eastAsia="Arial" w:hAnsi="Arial" w:cs="Arial"/>
        </w:rPr>
      </w:pPr>
    </w:p>
    <w:p w14:paraId="478804C6" w14:textId="575C776F" w:rsidR="008160E8" w:rsidRDefault="008160E8" w:rsidP="00161FDD">
      <w:pPr>
        <w:tabs>
          <w:tab w:val="left" w:pos="3550"/>
        </w:tabs>
        <w:spacing w:line="360" w:lineRule="auto"/>
        <w:ind w:left="567" w:right="1128"/>
        <w:rPr>
          <w:rFonts w:ascii="Arial" w:eastAsia="Arial" w:hAnsi="Arial" w:cs="Arial"/>
        </w:rPr>
      </w:pPr>
      <w:r>
        <w:rPr>
          <w:rFonts w:ascii="Arial" w:eastAsia="Arial" w:hAnsi="Arial" w:cs="Arial"/>
          <w:noProof/>
        </w:rPr>
        <w:drawing>
          <wp:inline distT="0" distB="0" distL="0" distR="0" wp14:anchorId="115EB79E" wp14:editId="20A5FF93">
            <wp:extent cx="4053600" cy="2880000"/>
            <wp:effectExtent l="0" t="0" r="0" b="3175"/>
            <wp:docPr id="6157413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741308" name="Grafik 6157413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C8C1EB5" w14:textId="2E26DB47" w:rsidR="008160E8" w:rsidRPr="008160E8" w:rsidRDefault="008160E8" w:rsidP="008160E8">
      <w:pPr>
        <w:tabs>
          <w:tab w:val="left" w:pos="3550"/>
        </w:tabs>
        <w:spacing w:line="360" w:lineRule="auto"/>
        <w:ind w:left="567" w:right="1128"/>
        <w:rPr>
          <w:rFonts w:ascii="Arial" w:eastAsia="Arial" w:hAnsi="Arial" w:cs="Arial"/>
        </w:rPr>
      </w:pPr>
      <w:r w:rsidRPr="008160E8">
        <w:rPr>
          <w:rFonts w:ascii="Arial" w:eastAsia="Arial" w:hAnsi="Arial" w:cs="Arial"/>
        </w:rPr>
        <w:t>Vollintegrierte Bedienung der Direkteinspeisung über das ISOBUS-Terminal</w:t>
      </w:r>
    </w:p>
    <w:p w14:paraId="4243DB52" w14:textId="77777777" w:rsidR="00420C2E" w:rsidRDefault="00420C2E" w:rsidP="00161FDD">
      <w:pPr>
        <w:tabs>
          <w:tab w:val="left" w:pos="3550"/>
        </w:tabs>
        <w:spacing w:line="360" w:lineRule="auto"/>
        <w:ind w:left="567" w:right="1128"/>
        <w:rPr>
          <w:rFonts w:ascii="Arial" w:eastAsia="Arial" w:hAnsi="Arial" w:cs="Arial"/>
        </w:rPr>
      </w:pPr>
    </w:p>
    <w:p w14:paraId="3077BE4E" w14:textId="77777777" w:rsidR="00420C2E" w:rsidRDefault="00420C2E" w:rsidP="00161FDD">
      <w:pPr>
        <w:tabs>
          <w:tab w:val="left" w:pos="3550"/>
        </w:tabs>
        <w:spacing w:line="360" w:lineRule="auto"/>
        <w:ind w:left="567" w:right="1128"/>
        <w:rPr>
          <w:rFonts w:ascii="Arial" w:eastAsia="Arial" w:hAnsi="Arial" w:cs="Arial"/>
        </w:rPr>
      </w:pPr>
    </w:p>
    <w:p w14:paraId="4B03CB37" w14:textId="190C84FF" w:rsidR="00420C2E" w:rsidRDefault="008160E8" w:rsidP="00161FDD">
      <w:pPr>
        <w:tabs>
          <w:tab w:val="left" w:pos="3550"/>
        </w:tabs>
        <w:spacing w:line="360" w:lineRule="auto"/>
        <w:ind w:left="567" w:right="1128"/>
        <w:rPr>
          <w:rFonts w:ascii="Arial" w:eastAsia="Arial" w:hAnsi="Arial" w:cs="Arial"/>
        </w:rPr>
      </w:pPr>
      <w:r>
        <w:rPr>
          <w:rFonts w:ascii="Arial" w:eastAsia="Arial" w:hAnsi="Arial" w:cs="Arial"/>
          <w:noProof/>
        </w:rPr>
        <w:lastRenderedPageBreak/>
        <w:drawing>
          <wp:inline distT="0" distB="0" distL="0" distR="0" wp14:anchorId="1056EFE0" wp14:editId="52B90FF5">
            <wp:extent cx="4053600" cy="2880000"/>
            <wp:effectExtent l="0" t="0" r="0" b="3175"/>
            <wp:docPr id="11584564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56497" name="Grafik 115845649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2C39CD98" w14:textId="77777777" w:rsidR="008160E8" w:rsidRPr="008160E8" w:rsidRDefault="008160E8" w:rsidP="008160E8">
      <w:pPr>
        <w:tabs>
          <w:tab w:val="left" w:pos="3550"/>
        </w:tabs>
        <w:spacing w:line="360" w:lineRule="auto"/>
        <w:ind w:left="567" w:right="1128"/>
        <w:rPr>
          <w:rFonts w:ascii="Arial" w:eastAsia="Arial" w:hAnsi="Arial" w:cs="Arial"/>
        </w:rPr>
      </w:pPr>
      <w:r w:rsidRPr="008160E8">
        <w:rPr>
          <w:rFonts w:ascii="Arial" w:eastAsia="Arial" w:hAnsi="Arial" w:cs="Arial"/>
        </w:rPr>
        <w:t>Einspeisestellen der 2 Spritzleitungen in die Ringleitung</w:t>
      </w:r>
    </w:p>
    <w:p w14:paraId="3F995A73" w14:textId="77777777" w:rsidR="008160E8" w:rsidRDefault="008160E8" w:rsidP="00161FDD">
      <w:pPr>
        <w:tabs>
          <w:tab w:val="left" w:pos="3550"/>
        </w:tabs>
        <w:spacing w:line="360" w:lineRule="auto"/>
        <w:ind w:left="567" w:right="1128"/>
        <w:rPr>
          <w:rFonts w:ascii="Arial" w:eastAsia="Arial" w:hAnsi="Arial" w:cs="Arial"/>
        </w:rPr>
      </w:pPr>
    </w:p>
    <w:p w14:paraId="0A8F75D4" w14:textId="77777777" w:rsidR="008160E8" w:rsidRDefault="008160E8" w:rsidP="00161FDD">
      <w:pPr>
        <w:tabs>
          <w:tab w:val="left" w:pos="3550"/>
        </w:tabs>
        <w:spacing w:line="360" w:lineRule="auto"/>
        <w:ind w:left="567" w:right="1128"/>
        <w:rPr>
          <w:rFonts w:ascii="Arial" w:eastAsia="Arial" w:hAnsi="Arial" w:cs="Arial"/>
        </w:rPr>
      </w:pPr>
    </w:p>
    <w:p w14:paraId="11E4B66A" w14:textId="77777777" w:rsidR="008160E8" w:rsidRDefault="008160E8" w:rsidP="00161FDD">
      <w:pPr>
        <w:tabs>
          <w:tab w:val="left" w:pos="3550"/>
        </w:tabs>
        <w:spacing w:line="360" w:lineRule="auto"/>
        <w:ind w:left="567" w:right="1128"/>
        <w:rPr>
          <w:rFonts w:ascii="Arial" w:eastAsia="Arial" w:hAnsi="Arial" w:cs="Arial"/>
        </w:rPr>
      </w:pPr>
    </w:p>
    <w:p w14:paraId="6707B529" w14:textId="77777777" w:rsidR="008160E8" w:rsidRDefault="008160E8" w:rsidP="00161FDD">
      <w:pPr>
        <w:tabs>
          <w:tab w:val="left" w:pos="3550"/>
        </w:tabs>
        <w:spacing w:line="360" w:lineRule="auto"/>
        <w:ind w:left="567" w:right="1128"/>
        <w:rPr>
          <w:rFonts w:ascii="Arial" w:eastAsia="Arial" w:hAnsi="Arial" w:cs="Arial"/>
        </w:rPr>
      </w:pPr>
    </w:p>
    <w:p w14:paraId="6C18930B" w14:textId="77777777" w:rsidR="008160E8" w:rsidRDefault="008160E8" w:rsidP="00161FDD">
      <w:pPr>
        <w:tabs>
          <w:tab w:val="left" w:pos="3550"/>
        </w:tabs>
        <w:spacing w:line="360" w:lineRule="auto"/>
        <w:ind w:left="567" w:right="1128"/>
        <w:rPr>
          <w:rFonts w:ascii="Arial" w:eastAsia="Arial" w:hAnsi="Arial" w:cs="Arial"/>
        </w:rPr>
      </w:pPr>
    </w:p>
    <w:p w14:paraId="370A2117" w14:textId="77777777" w:rsidR="008160E8" w:rsidRDefault="008160E8"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7F8944CC" w14:textId="41A5B084"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141329">
        <w:rPr>
          <w:rFonts w:ascii="Arial" w:hAnsi="Arial" w:cs="Arial"/>
          <w:bCs/>
          <w:color w:val="808080" w:themeColor="background1" w:themeShade="80"/>
          <w:sz w:val="20"/>
          <w:szCs w:val="20"/>
        </w:rPr>
        <w:t>über</w:t>
      </w:r>
      <w:r w:rsidR="00141329"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2" w:history="1">
        <w:r w:rsidRPr="00047000">
          <w:rPr>
            <w:rStyle w:val="Hyperlink"/>
            <w:rFonts w:ascii="Arial" w:hAnsi="Arial" w:cs="Arial"/>
            <w:bCs/>
            <w:sz w:val="20"/>
            <w:szCs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RPr="00C46CAE" w:rsidSect="007D56A1">
      <w:headerReference w:type="even" r:id="rId28"/>
      <w:headerReference w:type="default" r:id="rId29"/>
      <w:footerReference w:type="even" r:id="rId30"/>
      <w:footerReference w:type="default" r:id="rId31"/>
      <w:headerReference w:type="first" r:id="rId32"/>
      <w:footerReference w:type="firs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5A56B" w14:textId="77777777" w:rsidR="00A85B54" w:rsidRDefault="00A85B54">
      <w:r>
        <w:separator/>
      </w:r>
    </w:p>
  </w:endnote>
  <w:endnote w:type="continuationSeparator" w:id="0">
    <w:p w14:paraId="1C8F9B9D" w14:textId="77777777" w:rsidR="00A85B54" w:rsidRDefault="00A8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1E822" w14:textId="77777777" w:rsidR="00A85B54" w:rsidRDefault="00A85B54">
      <w:r>
        <w:separator/>
      </w:r>
    </w:p>
  </w:footnote>
  <w:footnote w:type="continuationSeparator" w:id="0">
    <w:p w14:paraId="01AD0D20" w14:textId="77777777" w:rsidR="00A85B54" w:rsidRDefault="00A85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3B060E41"/>
    <w:multiLevelType w:val="hybridMultilevel"/>
    <w:tmpl w:val="5A0E5794"/>
    <w:lvl w:ilvl="0" w:tplc="2FAA1B28">
      <w:numFmt w:val="bullet"/>
      <w:lvlText w:val="–"/>
      <w:lvlJc w:val="left"/>
      <w:pPr>
        <w:ind w:left="1287" w:hanging="360"/>
      </w:pPr>
      <w:rPr>
        <w:rFonts w:ascii="Arial" w:eastAsia="Arial"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7"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7E1701B3"/>
    <w:multiLevelType w:val="hybridMultilevel"/>
    <w:tmpl w:val="CEC61FE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0"/>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20"/>
  </w:num>
  <w:num w:numId="8" w16cid:durableId="294531490">
    <w:abstractNumId w:val="18"/>
  </w:num>
  <w:num w:numId="9" w16cid:durableId="2071071478">
    <w:abstractNumId w:val="4"/>
  </w:num>
  <w:num w:numId="10" w16cid:durableId="136532471">
    <w:abstractNumId w:val="12"/>
  </w:num>
  <w:num w:numId="11" w16cid:durableId="2055814173">
    <w:abstractNumId w:val="17"/>
  </w:num>
  <w:num w:numId="12" w16cid:durableId="636498599">
    <w:abstractNumId w:val="21"/>
  </w:num>
  <w:num w:numId="13" w16cid:durableId="118423553">
    <w:abstractNumId w:val="27"/>
  </w:num>
  <w:num w:numId="14" w16cid:durableId="1499079657">
    <w:abstractNumId w:val="22"/>
  </w:num>
  <w:num w:numId="15" w16cid:durableId="556353878">
    <w:abstractNumId w:val="24"/>
  </w:num>
  <w:num w:numId="16" w16cid:durableId="1202472297">
    <w:abstractNumId w:val="3"/>
  </w:num>
  <w:num w:numId="17" w16cid:durableId="50662991">
    <w:abstractNumId w:val="23"/>
  </w:num>
  <w:num w:numId="18" w16cid:durableId="57364874">
    <w:abstractNumId w:val="26"/>
  </w:num>
  <w:num w:numId="19" w16cid:durableId="270091963">
    <w:abstractNumId w:val="8"/>
  </w:num>
  <w:num w:numId="20" w16cid:durableId="518081582">
    <w:abstractNumId w:val="13"/>
  </w:num>
  <w:num w:numId="21" w16cid:durableId="756825060">
    <w:abstractNumId w:val="14"/>
  </w:num>
  <w:num w:numId="22" w16cid:durableId="2112163992">
    <w:abstractNumId w:val="16"/>
  </w:num>
  <w:num w:numId="23" w16cid:durableId="2081441875">
    <w:abstractNumId w:val="19"/>
  </w:num>
  <w:num w:numId="24" w16cid:durableId="592130352">
    <w:abstractNumId w:val="15"/>
  </w:num>
  <w:num w:numId="25" w16cid:durableId="1626614287">
    <w:abstractNumId w:val="11"/>
  </w:num>
  <w:num w:numId="26" w16cid:durableId="1359969215">
    <w:abstractNumId w:val="7"/>
  </w:num>
  <w:num w:numId="27" w16cid:durableId="1731995061">
    <w:abstractNumId w:val="25"/>
  </w:num>
  <w:num w:numId="28" w16cid:durableId="1204950210">
    <w:abstractNumId w:val="28"/>
  </w:num>
  <w:num w:numId="29" w16cid:durableId="21389915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D45"/>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60E8"/>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6E05"/>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B54"/>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502</Words>
  <Characters>3167</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2023-08-24T10:09:00Z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