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9F4D8" w14:textId="5E89F33B" w:rsidR="0089279D" w:rsidRPr="0089279D" w:rsidRDefault="0089279D" w:rsidP="0089279D">
      <w:pPr>
        <w:spacing w:after="120" w:line="360" w:lineRule="auto"/>
        <w:ind w:left="567" w:right="1695"/>
        <w:rPr>
          <w:rFonts w:ascii="Arial" w:hAnsi="Arial" w:cs="Arial"/>
          <w:b/>
          <w:bCs/>
          <w:sz w:val="28"/>
          <w:szCs w:val="28"/>
        </w:rPr>
      </w:pPr>
      <w:r w:rsidRPr="0089279D">
        <w:rPr>
          <w:rFonts w:ascii="Arial" w:hAnsi="Arial" w:cs="Arial"/>
          <w:b/>
          <w:bCs/>
          <w:sz w:val="28"/>
          <w:szCs w:val="28"/>
        </w:rPr>
        <w:t>Hydraulischer Pumpenantrieb für die Anbauspritzen UF 1602 und UF 2002</w:t>
      </w:r>
    </w:p>
    <w:p w14:paraId="7DEE4033" w14:textId="77777777" w:rsidR="0089279D" w:rsidRPr="0089279D" w:rsidRDefault="0089279D" w:rsidP="0089279D">
      <w:pPr>
        <w:spacing w:line="360" w:lineRule="auto"/>
        <w:ind w:left="567" w:right="1695"/>
        <w:rPr>
          <w:rFonts w:ascii="Arial" w:hAnsi="Arial" w:cs="Arial"/>
          <w:b/>
          <w:bCs/>
        </w:rPr>
      </w:pPr>
      <w:r w:rsidRPr="0089279D">
        <w:rPr>
          <w:rFonts w:ascii="Arial" w:hAnsi="Arial" w:cs="Arial"/>
          <w:b/>
          <w:bCs/>
        </w:rPr>
        <w:t>Maximaler Komfort für die Anbauspritze</w:t>
      </w:r>
    </w:p>
    <w:p w14:paraId="65EA582A" w14:textId="77777777" w:rsidR="00161FDD" w:rsidRDefault="00161FDD" w:rsidP="00161FDD">
      <w:pPr>
        <w:spacing w:line="360" w:lineRule="auto"/>
        <w:ind w:left="567" w:right="1695"/>
        <w:rPr>
          <w:rFonts w:ascii="Arial" w:hAnsi="Arial" w:cs="Arial"/>
        </w:rPr>
      </w:pPr>
    </w:p>
    <w:p w14:paraId="58ED6CA0" w14:textId="77777777" w:rsidR="0089279D" w:rsidRPr="0089279D" w:rsidRDefault="0089279D" w:rsidP="0089279D">
      <w:pPr>
        <w:spacing w:after="120" w:line="360" w:lineRule="auto"/>
        <w:ind w:left="567" w:right="1695"/>
        <w:rPr>
          <w:rFonts w:ascii="Arial" w:eastAsia="Arial" w:hAnsi="Arial" w:cs="Arial"/>
        </w:rPr>
      </w:pPr>
      <w:r w:rsidRPr="0089279D">
        <w:rPr>
          <w:rFonts w:ascii="Arial" w:eastAsia="Arial" w:hAnsi="Arial" w:cs="Arial"/>
        </w:rPr>
        <w:t xml:space="preserve">Für die Anbauspritze UF 1602 und UF 2002 bietet AMAZONE einen voll in das Hydrauliksystem integrierten hydraulischen Pumpenantrieb in Verbindung mit dem Comfort-Paket an. </w:t>
      </w:r>
    </w:p>
    <w:p w14:paraId="276D119D" w14:textId="77777777" w:rsidR="0089279D" w:rsidRPr="0089279D" w:rsidRDefault="0089279D" w:rsidP="0089279D">
      <w:pPr>
        <w:spacing w:after="120" w:line="360" w:lineRule="auto"/>
        <w:ind w:left="567" w:right="1695"/>
        <w:rPr>
          <w:rFonts w:ascii="Arial" w:eastAsia="Arial" w:hAnsi="Arial" w:cs="Arial"/>
        </w:rPr>
      </w:pPr>
    </w:p>
    <w:p w14:paraId="1E49858F" w14:textId="77777777" w:rsidR="0089279D" w:rsidRDefault="0089279D" w:rsidP="0089279D">
      <w:pPr>
        <w:spacing w:after="120" w:line="360" w:lineRule="auto"/>
        <w:ind w:left="567" w:right="1695"/>
        <w:rPr>
          <w:rFonts w:ascii="Arial" w:eastAsia="Arial" w:hAnsi="Arial" w:cs="Arial"/>
        </w:rPr>
      </w:pPr>
      <w:r w:rsidRPr="0089279D">
        <w:rPr>
          <w:rFonts w:ascii="Arial" w:eastAsia="Arial" w:hAnsi="Arial" w:cs="Arial"/>
        </w:rPr>
        <w:t>Der hydraulische Pumpenantrieb ersetzt die Gelenkwelle, macht den Anbau an verschiedene Traktoren besonders einfach und ist wartungsfrei.</w:t>
      </w:r>
    </w:p>
    <w:p w14:paraId="5D1B8525" w14:textId="77777777" w:rsidR="0089279D" w:rsidRPr="0089279D" w:rsidRDefault="0089279D" w:rsidP="0089279D">
      <w:pPr>
        <w:spacing w:after="120" w:line="360" w:lineRule="auto"/>
        <w:ind w:left="567" w:right="1695"/>
        <w:rPr>
          <w:rFonts w:ascii="Arial" w:eastAsia="Arial" w:hAnsi="Arial" w:cs="Arial"/>
        </w:rPr>
      </w:pPr>
    </w:p>
    <w:p w14:paraId="05958A68" w14:textId="77777777" w:rsidR="0089279D" w:rsidRPr="0089279D" w:rsidRDefault="0089279D" w:rsidP="0089279D">
      <w:pPr>
        <w:spacing w:after="120" w:line="360" w:lineRule="auto"/>
        <w:ind w:left="567" w:right="1695"/>
        <w:rPr>
          <w:rFonts w:ascii="Arial" w:eastAsia="Arial" w:hAnsi="Arial" w:cs="Arial"/>
          <w:b/>
          <w:bCs/>
        </w:rPr>
      </w:pPr>
      <w:r w:rsidRPr="0089279D">
        <w:rPr>
          <w:rFonts w:ascii="Arial" w:eastAsia="Arial" w:hAnsi="Arial" w:cs="Arial"/>
          <w:b/>
          <w:bCs/>
        </w:rPr>
        <w:t>Bedienung und Regelung</w:t>
      </w:r>
    </w:p>
    <w:p w14:paraId="54EB67E2" w14:textId="77777777" w:rsidR="0089279D" w:rsidRPr="0089279D" w:rsidRDefault="0089279D" w:rsidP="0089279D">
      <w:pPr>
        <w:spacing w:after="120" w:line="360" w:lineRule="auto"/>
        <w:ind w:left="567" w:right="1695"/>
        <w:rPr>
          <w:rFonts w:ascii="Arial" w:eastAsia="Arial" w:hAnsi="Arial" w:cs="Arial"/>
        </w:rPr>
      </w:pPr>
      <w:r w:rsidRPr="0089279D">
        <w:rPr>
          <w:rFonts w:ascii="Arial" w:eastAsia="Arial" w:hAnsi="Arial" w:cs="Arial"/>
        </w:rPr>
        <w:t>Die Regelung des hydraulischen Pumpenantriebs erfolgt über das Load-</w:t>
      </w:r>
      <w:proofErr w:type="spellStart"/>
      <w:r w:rsidRPr="0089279D">
        <w:rPr>
          <w:rFonts w:ascii="Arial" w:eastAsia="Arial" w:hAnsi="Arial" w:cs="Arial"/>
        </w:rPr>
        <w:t>Sensing</w:t>
      </w:r>
      <w:proofErr w:type="spellEnd"/>
      <w:r w:rsidRPr="0089279D">
        <w:rPr>
          <w:rFonts w:ascii="Arial" w:eastAsia="Arial" w:hAnsi="Arial" w:cs="Arial"/>
        </w:rPr>
        <w:t>-System der Pflanzenschutzspritze. Die Bedienung erfolgt komplett über die ISOBUS-Software der UF 02. Für das Befüllen, Rühren und Spritzen können jeweils verschiedene Pumpendrehzahlen abgespeichert werden. Bei der Auswahl einer der zuvor genannten Funktion stellt die Pumpe die Pumpendrehzahl automatisch ein und hält die Drehzahl unabhängig von der Traktor-Motordrehzahl konstant. Drehzahlen über der Maximaldrehzahl der Pumpe von 540 1/min werden zuverlässig vermieden.</w:t>
      </w:r>
    </w:p>
    <w:p w14:paraId="65FD3A77" w14:textId="77777777" w:rsidR="0089279D" w:rsidRPr="0089279D" w:rsidRDefault="0089279D" w:rsidP="0089279D">
      <w:pPr>
        <w:spacing w:after="120" w:line="360" w:lineRule="auto"/>
        <w:ind w:left="567" w:right="1695"/>
        <w:rPr>
          <w:rFonts w:ascii="Arial" w:eastAsia="Arial" w:hAnsi="Arial" w:cs="Arial"/>
        </w:rPr>
      </w:pPr>
    </w:p>
    <w:p w14:paraId="3EB8E09D" w14:textId="77777777" w:rsidR="0089279D" w:rsidRDefault="0089279D" w:rsidP="0089279D">
      <w:pPr>
        <w:spacing w:after="120" w:line="360" w:lineRule="auto"/>
        <w:ind w:left="567" w:right="1695"/>
        <w:rPr>
          <w:rFonts w:ascii="Arial" w:eastAsia="Arial" w:hAnsi="Arial" w:cs="Arial"/>
        </w:rPr>
      </w:pPr>
      <w:r w:rsidRPr="0089279D">
        <w:rPr>
          <w:rFonts w:ascii="Arial" w:eastAsia="Arial" w:hAnsi="Arial" w:cs="Arial"/>
        </w:rPr>
        <w:t>Der Ölbedarf für den hydraulischen Pumpenantrieb beträgt bis zu 50 l/min.</w:t>
      </w:r>
    </w:p>
    <w:p w14:paraId="5703069D" w14:textId="77777777" w:rsidR="0089279D" w:rsidRPr="0089279D" w:rsidRDefault="0089279D" w:rsidP="0089279D">
      <w:pPr>
        <w:spacing w:after="120" w:line="360" w:lineRule="auto"/>
        <w:ind w:left="567" w:right="1695"/>
        <w:rPr>
          <w:rFonts w:ascii="Arial" w:eastAsia="Arial" w:hAnsi="Arial" w:cs="Arial"/>
        </w:rPr>
      </w:pPr>
    </w:p>
    <w:p w14:paraId="558DCAC4" w14:textId="77777777" w:rsidR="0089279D" w:rsidRPr="0089279D" w:rsidRDefault="0089279D" w:rsidP="0089279D">
      <w:pPr>
        <w:spacing w:after="120" w:line="360" w:lineRule="auto"/>
        <w:ind w:left="567" w:right="1695"/>
        <w:rPr>
          <w:rFonts w:ascii="Arial" w:eastAsia="Arial" w:hAnsi="Arial" w:cs="Arial"/>
        </w:rPr>
      </w:pPr>
      <w:r w:rsidRPr="0089279D">
        <w:rPr>
          <w:rFonts w:ascii="Arial" w:eastAsia="Arial" w:hAnsi="Arial" w:cs="Arial"/>
          <w:b/>
          <w:bCs/>
        </w:rPr>
        <w:t>Befüllung</w:t>
      </w:r>
    </w:p>
    <w:p w14:paraId="3BA891FA" w14:textId="77777777" w:rsidR="0089279D" w:rsidRDefault="0089279D" w:rsidP="0089279D">
      <w:pPr>
        <w:spacing w:after="120" w:line="360" w:lineRule="auto"/>
        <w:ind w:left="567" w:right="1695"/>
        <w:rPr>
          <w:rFonts w:ascii="Arial" w:eastAsia="Arial" w:hAnsi="Arial" w:cs="Arial"/>
        </w:rPr>
      </w:pPr>
      <w:r w:rsidRPr="0089279D">
        <w:rPr>
          <w:rFonts w:ascii="Arial" w:eastAsia="Arial" w:hAnsi="Arial" w:cs="Arial"/>
        </w:rPr>
        <w:t xml:space="preserve">Zu Beginn der Befüllung kann die Pumpe bequem vom </w:t>
      </w:r>
      <w:proofErr w:type="spellStart"/>
      <w:r w:rsidRPr="0089279D">
        <w:rPr>
          <w:rFonts w:ascii="Arial" w:eastAsia="Arial" w:hAnsi="Arial" w:cs="Arial"/>
        </w:rPr>
        <w:t>TwinTerminal</w:t>
      </w:r>
      <w:proofErr w:type="spellEnd"/>
      <w:r w:rsidRPr="0089279D">
        <w:rPr>
          <w:rFonts w:ascii="Arial" w:eastAsia="Arial" w:hAnsi="Arial" w:cs="Arial"/>
        </w:rPr>
        <w:t xml:space="preserve"> 3.0 im </w:t>
      </w:r>
      <w:proofErr w:type="spellStart"/>
      <w:r w:rsidRPr="0089279D">
        <w:rPr>
          <w:rFonts w:ascii="Arial" w:eastAsia="Arial" w:hAnsi="Arial" w:cs="Arial"/>
        </w:rPr>
        <w:t>SmartCenter</w:t>
      </w:r>
      <w:proofErr w:type="spellEnd"/>
      <w:r w:rsidRPr="0089279D">
        <w:rPr>
          <w:rFonts w:ascii="Arial" w:eastAsia="Arial" w:hAnsi="Arial" w:cs="Arial"/>
        </w:rPr>
        <w:t xml:space="preserve"> der UF gestartet werden. Der Pumpenstart erfolgt dabei sehr sanft. Die Pumpendrehzahl regelt sich voll automatisch und schnell auf die zuvor gespeicherte Drehzahl ein. Die Motordrehzahl des Traktors bleibt hier vollkommen unberücksichtigt. Die maximale Ansaugleistung kann ohne </w:t>
      </w:r>
      <w:r w:rsidRPr="0089279D">
        <w:rPr>
          <w:rFonts w:ascii="Arial" w:eastAsia="Arial" w:hAnsi="Arial" w:cs="Arial"/>
        </w:rPr>
        <w:lastRenderedPageBreak/>
        <w:t xml:space="preserve">Bedenken immer voll genutzt werden, da die Steuerung automatisch Drehzahlen über 540 1/min reduziert. Optional kann sich die Pumpe dank der Software </w:t>
      </w:r>
      <w:proofErr w:type="gramStart"/>
      <w:r w:rsidRPr="0089279D">
        <w:rPr>
          <w:rFonts w:ascii="Arial" w:eastAsia="Arial" w:hAnsi="Arial" w:cs="Arial"/>
        </w:rPr>
        <w:t xml:space="preserve">bei </w:t>
      </w:r>
      <w:proofErr w:type="spellStart"/>
      <w:r w:rsidRPr="0089279D">
        <w:rPr>
          <w:rFonts w:ascii="Arial" w:eastAsia="Arial" w:hAnsi="Arial" w:cs="Arial"/>
        </w:rPr>
        <w:t>erreichen</w:t>
      </w:r>
      <w:proofErr w:type="spellEnd"/>
      <w:proofErr w:type="gramEnd"/>
      <w:r w:rsidRPr="0089279D">
        <w:rPr>
          <w:rFonts w:ascii="Arial" w:eastAsia="Arial" w:hAnsi="Arial" w:cs="Arial"/>
        </w:rPr>
        <w:t xml:space="preserve"> des Sollfüllstands automatisch abstellen.</w:t>
      </w:r>
    </w:p>
    <w:p w14:paraId="67081B4D" w14:textId="77777777" w:rsidR="0089279D" w:rsidRPr="0089279D" w:rsidRDefault="0089279D" w:rsidP="0089279D">
      <w:pPr>
        <w:spacing w:after="120" w:line="360" w:lineRule="auto"/>
        <w:ind w:left="567" w:right="1695"/>
        <w:rPr>
          <w:rFonts w:ascii="Arial" w:eastAsia="Arial" w:hAnsi="Arial" w:cs="Arial"/>
        </w:rPr>
      </w:pPr>
    </w:p>
    <w:p w14:paraId="4CF4F651" w14:textId="77777777" w:rsidR="0089279D" w:rsidRPr="0089279D" w:rsidRDefault="0089279D" w:rsidP="0089279D">
      <w:pPr>
        <w:spacing w:after="120" w:line="360" w:lineRule="auto"/>
        <w:ind w:left="567" w:right="1695"/>
        <w:rPr>
          <w:rFonts w:ascii="Arial" w:eastAsia="Arial" w:hAnsi="Arial" w:cs="Arial"/>
        </w:rPr>
      </w:pPr>
      <w:r w:rsidRPr="0089279D">
        <w:rPr>
          <w:rFonts w:ascii="Arial" w:eastAsia="Arial" w:hAnsi="Arial" w:cs="Arial"/>
          <w:b/>
          <w:bCs/>
        </w:rPr>
        <w:t>Applikation im Feld</w:t>
      </w:r>
    </w:p>
    <w:p w14:paraId="23AB8E5B" w14:textId="3D0C3D9A" w:rsidR="00A574DC" w:rsidRDefault="0089279D" w:rsidP="0089279D">
      <w:pPr>
        <w:spacing w:after="120" w:line="360" w:lineRule="auto"/>
        <w:ind w:left="567" w:right="1695"/>
        <w:rPr>
          <w:rFonts w:ascii="Arial" w:eastAsia="Arial" w:hAnsi="Arial" w:cs="Arial"/>
        </w:rPr>
      </w:pPr>
      <w:r w:rsidRPr="0089279D">
        <w:rPr>
          <w:rFonts w:ascii="Arial" w:eastAsia="Arial" w:hAnsi="Arial" w:cs="Arial"/>
        </w:rPr>
        <w:t>Bei der Pflanzenschutzmittelapplikation in hügeligem Gelände wird die Pumpendrehzahl der Spritze z. B. bei Bergauffahrt mit hoher Motordrehzahl des Traktors und Bergabfahrt mit niedriger, kraftstoffsparender Drehzahl immer konstant im zuvor eingestellten Bereich gehalten. Dies garantiert optimale Applikationsergebnisse, senkt den Kraftstoffverbrauch und schützt die Pumpe vor Überbelastungen durch zu hohe Drehzahlen.</w:t>
      </w:r>
    </w:p>
    <w:p w14:paraId="2CC967C0" w14:textId="77777777" w:rsidR="009A1C72" w:rsidRDefault="009A1C72" w:rsidP="00677DC1">
      <w:pPr>
        <w:spacing w:after="120" w:line="360" w:lineRule="auto"/>
        <w:ind w:left="567" w:right="1695"/>
        <w:rPr>
          <w:rFonts w:ascii="Arial" w:eastAsia="Arial" w:hAnsi="Arial" w:cs="Arial"/>
        </w:rPr>
      </w:pPr>
    </w:p>
    <w:p w14:paraId="3F7C846A" w14:textId="77777777" w:rsidR="00A574DC" w:rsidRPr="00677DC1" w:rsidRDefault="00A574DC"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eastAsia="Arial" w:hAnsi="Arial" w:cs="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69DD6218" w14:textId="4EB01380" w:rsidR="0089279D" w:rsidRPr="005176DB" w:rsidRDefault="0089279D" w:rsidP="005176DB">
      <w:pPr>
        <w:pStyle w:val="Listenabsatz"/>
        <w:numPr>
          <w:ilvl w:val="0"/>
          <w:numId w:val="35"/>
        </w:numPr>
        <w:spacing w:after="120" w:line="360" w:lineRule="auto"/>
        <w:ind w:right="1695"/>
        <w:rPr>
          <w:rFonts w:ascii="Arial" w:eastAsia="Arial" w:hAnsi="Arial" w:cs="Arial"/>
        </w:rPr>
      </w:pPr>
      <w:r w:rsidRPr="005176DB">
        <w:rPr>
          <w:rFonts w:ascii="Arial" w:eastAsia="Arial" w:hAnsi="Arial" w:cs="Arial"/>
        </w:rPr>
        <w:t>Vom Traktor unabhängiger Pumpenantrieb</w:t>
      </w:r>
    </w:p>
    <w:p w14:paraId="6D0914CC" w14:textId="3B0C9296" w:rsidR="0089279D" w:rsidRPr="005176DB" w:rsidRDefault="0089279D" w:rsidP="005176DB">
      <w:pPr>
        <w:pStyle w:val="Listenabsatz"/>
        <w:numPr>
          <w:ilvl w:val="0"/>
          <w:numId w:val="35"/>
        </w:numPr>
        <w:spacing w:after="120" w:line="360" w:lineRule="auto"/>
        <w:ind w:right="1695"/>
        <w:rPr>
          <w:rFonts w:ascii="Arial" w:eastAsia="Arial" w:hAnsi="Arial" w:cs="Arial"/>
        </w:rPr>
      </w:pPr>
      <w:r w:rsidRPr="005176DB">
        <w:rPr>
          <w:rFonts w:ascii="Arial" w:eastAsia="Arial" w:hAnsi="Arial" w:cs="Arial"/>
        </w:rPr>
        <w:t>Schonung der Pumpe durch keine zu hohen Drehzahlen</w:t>
      </w:r>
    </w:p>
    <w:p w14:paraId="106FCD66" w14:textId="304DC15B" w:rsidR="0089279D" w:rsidRPr="005176DB" w:rsidRDefault="0089279D" w:rsidP="005176DB">
      <w:pPr>
        <w:pStyle w:val="Listenabsatz"/>
        <w:numPr>
          <w:ilvl w:val="0"/>
          <w:numId w:val="35"/>
        </w:numPr>
        <w:spacing w:after="120" w:line="360" w:lineRule="auto"/>
        <w:ind w:right="1695"/>
        <w:rPr>
          <w:rFonts w:ascii="Arial" w:eastAsia="Arial" w:hAnsi="Arial" w:cs="Arial"/>
        </w:rPr>
      </w:pPr>
      <w:r w:rsidRPr="005176DB">
        <w:rPr>
          <w:rFonts w:ascii="Arial" w:eastAsia="Arial" w:hAnsi="Arial" w:cs="Arial"/>
        </w:rPr>
        <w:t>Einfaches An- und Abkuppeln an den Traktor</w:t>
      </w:r>
    </w:p>
    <w:p w14:paraId="2C277C20" w14:textId="62046297" w:rsidR="0089279D" w:rsidRPr="005176DB" w:rsidRDefault="0089279D" w:rsidP="005176DB">
      <w:pPr>
        <w:pStyle w:val="Listenabsatz"/>
        <w:numPr>
          <w:ilvl w:val="0"/>
          <w:numId w:val="35"/>
        </w:numPr>
        <w:spacing w:after="120" w:line="360" w:lineRule="auto"/>
        <w:ind w:right="1695"/>
        <w:rPr>
          <w:rFonts w:ascii="Arial" w:eastAsia="Arial" w:hAnsi="Arial" w:cs="Arial"/>
        </w:rPr>
      </w:pPr>
      <w:r w:rsidRPr="005176DB">
        <w:rPr>
          <w:rFonts w:ascii="Arial" w:eastAsia="Arial" w:hAnsi="Arial" w:cs="Arial"/>
        </w:rPr>
        <w:t>Kraftstoffsparend</w:t>
      </w:r>
    </w:p>
    <w:p w14:paraId="0BB2E8B6" w14:textId="0086F1D0" w:rsidR="00496488" w:rsidRPr="005176DB" w:rsidRDefault="0089279D" w:rsidP="005176DB">
      <w:pPr>
        <w:pStyle w:val="Listenabsatz"/>
        <w:numPr>
          <w:ilvl w:val="0"/>
          <w:numId w:val="35"/>
        </w:numPr>
        <w:spacing w:after="120" w:line="360" w:lineRule="auto"/>
        <w:ind w:right="1695"/>
        <w:rPr>
          <w:rFonts w:ascii="Arial" w:eastAsia="Arial" w:hAnsi="Arial" w:cs="Arial"/>
        </w:rPr>
      </w:pPr>
      <w:r w:rsidRPr="005176DB">
        <w:rPr>
          <w:rFonts w:ascii="Arial" w:eastAsia="Arial" w:hAnsi="Arial" w:cs="Arial"/>
        </w:rPr>
        <w:t>Wartungsfrei</w:t>
      </w:r>
    </w:p>
    <w:p w14:paraId="22E126C8" w14:textId="77777777" w:rsidR="00677DC1" w:rsidRDefault="00677DC1" w:rsidP="00161FDD">
      <w:pPr>
        <w:tabs>
          <w:tab w:val="left" w:pos="3550"/>
        </w:tabs>
        <w:spacing w:line="360" w:lineRule="auto"/>
        <w:ind w:left="567" w:right="1128"/>
        <w:rPr>
          <w:rFonts w:ascii="Arial" w:eastAsia="Arial" w:hAnsi="Arial" w:cs="Arial"/>
        </w:rPr>
      </w:pP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243DB52" w14:textId="473BEEED" w:rsidR="00420C2E" w:rsidRDefault="009A1C72" w:rsidP="00161FDD">
      <w:pPr>
        <w:tabs>
          <w:tab w:val="left" w:pos="3550"/>
        </w:tabs>
        <w:spacing w:line="360" w:lineRule="auto"/>
        <w:ind w:left="567" w:right="1128"/>
        <w:rPr>
          <w:rFonts w:ascii="Arial" w:eastAsia="Arial" w:hAnsi="Arial" w:cs="Arial"/>
        </w:rPr>
      </w:pPr>
      <w:r>
        <w:rPr>
          <w:rFonts w:ascii="Arial" w:eastAsia="Arial" w:hAnsi="Arial" w:cs="Arial"/>
          <w:noProof/>
        </w:rPr>
        <w:lastRenderedPageBreak/>
        <w:drawing>
          <wp:inline distT="0" distB="0" distL="0" distR="0" wp14:anchorId="6149DBE1" wp14:editId="08BE1387">
            <wp:extent cx="3477600" cy="2880000"/>
            <wp:effectExtent l="0" t="0" r="2540" b="3175"/>
            <wp:docPr id="251264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264441" name="Grafik 251264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A834B0D" w14:textId="77777777" w:rsidR="009A1C72" w:rsidRPr="009A1C72" w:rsidRDefault="009A1C72" w:rsidP="009A1C72">
      <w:pPr>
        <w:tabs>
          <w:tab w:val="left" w:pos="3550"/>
        </w:tabs>
        <w:spacing w:line="360" w:lineRule="auto"/>
        <w:ind w:left="567" w:right="1128"/>
        <w:rPr>
          <w:rFonts w:ascii="Arial" w:eastAsia="Arial" w:hAnsi="Arial" w:cs="Arial"/>
        </w:rPr>
      </w:pPr>
      <w:r w:rsidRPr="009A1C72">
        <w:rPr>
          <w:rFonts w:ascii="Arial" w:eastAsia="Arial" w:hAnsi="Arial" w:cs="Arial"/>
        </w:rPr>
        <w:t>Kraftstoffsparender Einsatz einer UF 2002 mit hydraulischem Pumpenantrieb in hügeligem Gelände</w:t>
      </w:r>
    </w:p>
    <w:p w14:paraId="3077BE4E" w14:textId="77777777" w:rsidR="00420C2E" w:rsidRDefault="00420C2E" w:rsidP="00161FDD">
      <w:pPr>
        <w:tabs>
          <w:tab w:val="left" w:pos="3550"/>
        </w:tabs>
        <w:spacing w:line="360" w:lineRule="auto"/>
        <w:ind w:left="567" w:right="1128"/>
        <w:rPr>
          <w:rFonts w:ascii="Arial" w:eastAsia="Arial" w:hAnsi="Arial" w:cs="Arial"/>
        </w:rPr>
      </w:pPr>
    </w:p>
    <w:p w14:paraId="151866E0" w14:textId="77777777" w:rsidR="009A1C72" w:rsidRDefault="009A1C72" w:rsidP="00161FDD">
      <w:pPr>
        <w:tabs>
          <w:tab w:val="left" w:pos="3550"/>
        </w:tabs>
        <w:spacing w:line="360" w:lineRule="auto"/>
        <w:ind w:left="567" w:right="1128"/>
        <w:rPr>
          <w:rFonts w:ascii="Arial" w:eastAsia="Arial" w:hAnsi="Arial" w:cs="Arial"/>
        </w:rPr>
      </w:pPr>
    </w:p>
    <w:p w14:paraId="0747FE56" w14:textId="3292C064" w:rsidR="009A1C72" w:rsidRDefault="009A1C72" w:rsidP="00161FDD">
      <w:pPr>
        <w:tabs>
          <w:tab w:val="left" w:pos="3550"/>
        </w:tabs>
        <w:spacing w:line="360" w:lineRule="auto"/>
        <w:ind w:left="567" w:right="1128"/>
        <w:rPr>
          <w:rFonts w:ascii="Arial" w:eastAsia="Arial" w:hAnsi="Arial" w:cs="Arial"/>
        </w:rPr>
      </w:pPr>
      <w:r>
        <w:rPr>
          <w:rFonts w:ascii="Arial" w:eastAsia="Arial" w:hAnsi="Arial" w:cs="Arial"/>
          <w:noProof/>
        </w:rPr>
        <w:drawing>
          <wp:inline distT="0" distB="0" distL="0" distR="0" wp14:anchorId="42EB9D83" wp14:editId="704456AD">
            <wp:extent cx="4053600" cy="2880000"/>
            <wp:effectExtent l="0" t="0" r="0" b="3175"/>
            <wp:docPr id="86848675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86757" name="Grafik 86848675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3F1AF666" w14:textId="77777777" w:rsidR="009A1C72" w:rsidRPr="009A1C72" w:rsidRDefault="009A1C72" w:rsidP="009A1C72">
      <w:pPr>
        <w:tabs>
          <w:tab w:val="left" w:pos="3550"/>
        </w:tabs>
        <w:spacing w:line="360" w:lineRule="auto"/>
        <w:ind w:left="567" w:right="1128"/>
        <w:rPr>
          <w:rFonts w:ascii="Arial" w:eastAsia="Arial" w:hAnsi="Arial" w:cs="Arial"/>
        </w:rPr>
      </w:pPr>
      <w:r w:rsidRPr="009A1C72">
        <w:rPr>
          <w:rFonts w:ascii="Arial" w:eastAsia="Arial" w:hAnsi="Arial" w:cs="Arial"/>
        </w:rPr>
        <w:t>Hydraulischer Pumpenantrieb an der 300-l/min-Pumpe der UF 02</w:t>
      </w:r>
    </w:p>
    <w:p w14:paraId="4B03CB37" w14:textId="77777777" w:rsidR="00420C2E" w:rsidRDefault="00420C2E" w:rsidP="00161FDD">
      <w:pPr>
        <w:tabs>
          <w:tab w:val="left" w:pos="3550"/>
        </w:tabs>
        <w:spacing w:line="360" w:lineRule="auto"/>
        <w:ind w:left="567" w:right="1128"/>
        <w:rPr>
          <w:rFonts w:ascii="Arial" w:eastAsia="Arial" w:hAnsi="Arial" w:cs="Arial"/>
        </w:rPr>
      </w:pPr>
    </w:p>
    <w:p w14:paraId="3AE00B41" w14:textId="77777777" w:rsidR="009A1C72" w:rsidRDefault="009A1C72" w:rsidP="00161FDD">
      <w:pPr>
        <w:tabs>
          <w:tab w:val="left" w:pos="3550"/>
        </w:tabs>
        <w:spacing w:line="360" w:lineRule="auto"/>
        <w:ind w:left="567" w:right="1128"/>
        <w:rPr>
          <w:rFonts w:ascii="Arial" w:eastAsia="Arial" w:hAnsi="Arial" w:cs="Arial"/>
        </w:rPr>
      </w:pPr>
    </w:p>
    <w:p w14:paraId="0179A7DA" w14:textId="77777777" w:rsidR="0089279D" w:rsidRDefault="0089279D" w:rsidP="00161FDD">
      <w:pPr>
        <w:tabs>
          <w:tab w:val="left" w:pos="3550"/>
        </w:tabs>
        <w:spacing w:line="360" w:lineRule="auto"/>
        <w:ind w:left="567" w:right="1128"/>
        <w:rPr>
          <w:rFonts w:ascii="Arial" w:eastAsia="Arial" w:hAnsi="Arial" w:cs="Arial"/>
        </w:rPr>
      </w:pPr>
    </w:p>
    <w:p w14:paraId="49D1ECBC" w14:textId="77777777" w:rsidR="0089279D" w:rsidRDefault="0089279D"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F8944CC" w14:textId="41A5B084"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141329">
        <w:rPr>
          <w:rFonts w:ascii="Arial" w:hAnsi="Arial" w:cs="Arial"/>
          <w:bCs/>
          <w:color w:val="808080" w:themeColor="background1" w:themeShade="80"/>
          <w:sz w:val="20"/>
          <w:szCs w:val="20"/>
        </w:rPr>
        <w:t>über</w:t>
      </w:r>
      <w:r w:rsidR="00141329"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1" w:history="1">
        <w:r w:rsidRPr="00047000">
          <w:rPr>
            <w:rStyle w:val="Hyperlink"/>
            <w:rFonts w:ascii="Arial" w:hAnsi="Arial" w:cs="Arial"/>
            <w:bCs/>
            <w:sz w:val="20"/>
            <w:szCs w:val="20"/>
          </w:rPr>
          <w:t>www.amazone.de</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RPr="00C46CAE" w:rsidSect="007D56A1">
      <w:headerReference w:type="even" r:id="rId27"/>
      <w:headerReference w:type="default" r:id="rId28"/>
      <w:footerReference w:type="even" r:id="rId29"/>
      <w:footerReference w:type="default" r:id="rId30"/>
      <w:headerReference w:type="first" r:id="rId31"/>
      <w:footerReference w:type="first" r:id="rId32"/>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51BC" w14:textId="77777777" w:rsidR="00841877" w:rsidRDefault="00841877">
      <w:r>
        <w:separator/>
      </w:r>
    </w:p>
  </w:endnote>
  <w:endnote w:type="continuationSeparator" w:id="0">
    <w:p w14:paraId="76F81EFF" w14:textId="77777777" w:rsidR="00841877" w:rsidRDefault="0084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 xml:space="preserve">Telefon +49 (0)5405 501-0 ∙ </w:t>
                    </w:r>
                    <w:r w:rsidR="00B15CE5" w:rsidRPr="0093254A">
                      <w:rPr>
                        <w:rFonts w:ascii="Arial" w:hAnsi="Arial"/>
                        <w:spacing w:val="2"/>
                        <w:sz w:val="20"/>
                      </w:rPr>
                      <w:t>amazone@amazone.de</w:t>
                    </w:r>
                    <w:r w:rsidR="00A46482">
                      <w:rPr>
                        <w:rFonts w:ascii="Arial" w:hAnsi="Arial"/>
                        <w:spacing w:val="2"/>
                        <w:sz w:val="20"/>
                      </w:rPr>
                      <w:t xml:space="preserve"> ∙ www.amazone.</w:t>
                    </w:r>
                    <w:r w:rsidR="00306BA2">
                      <w:rPr>
                        <w:rFonts w:ascii="Arial" w:hAnsi="Arial"/>
                        <w:spacing w:val="2"/>
                        <w:sz w:val="20"/>
                      </w:rPr>
                      <w:t>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F3B3" w14:textId="77777777" w:rsidR="00841877" w:rsidRDefault="00841877">
      <w:r>
        <w:separator/>
      </w:r>
    </w:p>
  </w:footnote>
  <w:footnote w:type="continuationSeparator" w:id="0">
    <w:p w14:paraId="202F6FF2" w14:textId="77777777" w:rsidR="00841877" w:rsidRDefault="0084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sidRPr="00BC65EA">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sidRPr="002804E4">
                      <w:rPr>
                        <w:rFonts w:ascii="Arial" w:hAnsi="Arial" w:cs="Arial"/>
                        <w:b/>
                        <w:bCs/>
                        <w:color w:val="FFFFFF" w:themeColor="background1"/>
                        <w:kern w:val="24"/>
                        <w:sz w:val="18"/>
                        <w:szCs w:val="18"/>
                      </w:rPr>
                      <w:t>GO</w:t>
                    </w:r>
                    <w:r w:rsidR="00DD482B" w:rsidRPr="002804E4">
                      <w:rPr>
                        <w:rFonts w:ascii="Arial" w:hAnsi="Arial" w:cs="Arial"/>
                        <w:b/>
                        <w:bCs/>
                        <w:color w:val="FFFFFF" w:themeColor="background1"/>
                        <w:kern w:val="24"/>
                        <w:sz w:val="18"/>
                        <w:szCs w:val="18"/>
                      </w:rPr>
                      <w:t xml:space="preserve"> </w:t>
                    </w:r>
                    <w:proofErr w:type="spellStart"/>
                    <w:r w:rsidR="00DD482B" w:rsidRPr="002804E4">
                      <w:rPr>
                        <w:rFonts w:ascii="Arial" w:hAnsi="Arial" w:cs="Arial"/>
                        <w:b/>
                        <w:bCs/>
                        <w:color w:val="FFFFFF" w:themeColor="background1"/>
                        <w:kern w:val="24"/>
                        <w:sz w:val="18"/>
                        <w:szCs w:val="18"/>
                      </w:rPr>
                      <w:t>for</w:t>
                    </w:r>
                    <w:proofErr w:type="spellEnd"/>
                    <w:r w:rsidR="00DD482B" w:rsidRPr="002804E4">
                      <w:rPr>
                        <w:rFonts w:ascii="Arial" w:hAnsi="Arial" w:cs="Arial"/>
                        <w:b/>
                        <w:bCs/>
                        <w:color w:val="FFFFFF" w:themeColor="background1"/>
                        <w:kern w:val="24"/>
                        <w:sz w:val="18"/>
                        <w:szCs w:val="18"/>
                      </w:rPr>
                      <w:t xml:space="preserve"> Future</w:t>
                    </w:r>
                  </w:p>
                </w:txbxContent>
              </v:textbox>
              <w10:wrap anchorx="margin"/>
            </v:rect>
          </w:pict>
        </mc:Fallback>
      </mc:AlternateContent>
    </w:r>
    <w:r w:rsidRPr="00E81D17">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5120BBD"/>
    <w:multiLevelType w:val="hybridMultilevel"/>
    <w:tmpl w:val="2BDAC3EA"/>
    <w:lvl w:ilvl="0" w:tplc="EDAA33C4">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7FC6615"/>
    <w:multiLevelType w:val="hybridMultilevel"/>
    <w:tmpl w:val="2680472C"/>
    <w:lvl w:ilvl="0" w:tplc="2FAA1B28">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9D7123A"/>
    <w:multiLevelType w:val="hybridMultilevel"/>
    <w:tmpl w:val="6CDEE87E"/>
    <w:lvl w:ilvl="0" w:tplc="0407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9"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75E3EC7"/>
    <w:multiLevelType w:val="hybridMultilevel"/>
    <w:tmpl w:val="491E8BB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567758BF"/>
    <w:multiLevelType w:val="hybridMultilevel"/>
    <w:tmpl w:val="BC083936"/>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9"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6E5351D"/>
    <w:multiLevelType w:val="hybridMultilevel"/>
    <w:tmpl w:val="5D70F1CE"/>
    <w:lvl w:ilvl="0" w:tplc="EDAA33C4">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9C448A6"/>
    <w:multiLevelType w:val="hybridMultilevel"/>
    <w:tmpl w:val="B8C26788"/>
    <w:lvl w:ilvl="0" w:tplc="EDAA33C4">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32"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5602253"/>
    <w:multiLevelType w:val="hybridMultilevel"/>
    <w:tmpl w:val="045A2DB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13"/>
  </w:num>
  <w:num w:numId="2" w16cid:durableId="1510219160">
    <w:abstractNumId w:val="0"/>
  </w:num>
  <w:num w:numId="3" w16cid:durableId="613364659">
    <w:abstractNumId w:val="8"/>
  </w:num>
  <w:num w:numId="4" w16cid:durableId="1043675452">
    <w:abstractNumId w:val="9"/>
  </w:num>
  <w:num w:numId="5" w16cid:durableId="2011105495">
    <w:abstractNumId w:val="3"/>
  </w:num>
  <w:num w:numId="6" w16cid:durableId="240917465">
    <w:abstractNumId w:val="1"/>
  </w:num>
  <w:num w:numId="7" w16cid:durableId="750658751">
    <w:abstractNumId w:val="24"/>
  </w:num>
  <w:num w:numId="8" w16cid:durableId="294531490">
    <w:abstractNumId w:val="21"/>
  </w:num>
  <w:num w:numId="9" w16cid:durableId="2071071478">
    <w:abstractNumId w:val="7"/>
  </w:num>
  <w:num w:numId="10" w16cid:durableId="136532471">
    <w:abstractNumId w:val="15"/>
  </w:num>
  <w:num w:numId="11" w16cid:durableId="2055814173">
    <w:abstractNumId w:val="20"/>
  </w:num>
  <w:num w:numId="12" w16cid:durableId="636498599">
    <w:abstractNumId w:val="25"/>
  </w:num>
  <w:num w:numId="13" w16cid:durableId="118423553">
    <w:abstractNumId w:val="34"/>
  </w:num>
  <w:num w:numId="14" w16cid:durableId="1499079657">
    <w:abstractNumId w:val="26"/>
  </w:num>
  <w:num w:numId="15" w16cid:durableId="556353878">
    <w:abstractNumId w:val="28"/>
  </w:num>
  <w:num w:numId="16" w16cid:durableId="1202472297">
    <w:abstractNumId w:val="6"/>
  </w:num>
  <w:num w:numId="17" w16cid:durableId="50662991">
    <w:abstractNumId w:val="27"/>
  </w:num>
  <w:num w:numId="18" w16cid:durableId="57364874">
    <w:abstractNumId w:val="32"/>
  </w:num>
  <w:num w:numId="19" w16cid:durableId="270091963">
    <w:abstractNumId w:val="11"/>
  </w:num>
  <w:num w:numId="20" w16cid:durableId="518081582">
    <w:abstractNumId w:val="16"/>
  </w:num>
  <w:num w:numId="21" w16cid:durableId="756825060">
    <w:abstractNumId w:val="17"/>
  </w:num>
  <w:num w:numId="22" w16cid:durableId="2112163992">
    <w:abstractNumId w:val="19"/>
  </w:num>
  <w:num w:numId="23" w16cid:durableId="2081441875">
    <w:abstractNumId w:val="22"/>
  </w:num>
  <w:num w:numId="24" w16cid:durableId="592130352">
    <w:abstractNumId w:val="18"/>
  </w:num>
  <w:num w:numId="25" w16cid:durableId="1626614287">
    <w:abstractNumId w:val="14"/>
  </w:num>
  <w:num w:numId="26" w16cid:durableId="1359969215">
    <w:abstractNumId w:val="10"/>
  </w:num>
  <w:num w:numId="27" w16cid:durableId="1731995061">
    <w:abstractNumId w:val="29"/>
  </w:num>
  <w:num w:numId="28" w16cid:durableId="2005433713">
    <w:abstractNumId w:val="12"/>
  </w:num>
  <w:num w:numId="29" w16cid:durableId="1023476041">
    <w:abstractNumId w:val="30"/>
  </w:num>
  <w:num w:numId="30" w16cid:durableId="1410611730">
    <w:abstractNumId w:val="2"/>
  </w:num>
  <w:num w:numId="31" w16cid:durableId="1756586239">
    <w:abstractNumId w:val="31"/>
  </w:num>
  <w:num w:numId="32" w16cid:durableId="1712730855">
    <w:abstractNumId w:val="33"/>
  </w:num>
  <w:num w:numId="33" w16cid:durableId="655963705">
    <w:abstractNumId w:val="23"/>
  </w:num>
  <w:num w:numId="34" w16cid:durableId="1641766067">
    <w:abstractNumId w:val="4"/>
  </w:num>
  <w:num w:numId="35" w16cid:durableId="20183861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5B70"/>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123"/>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6DB"/>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8BF"/>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79D"/>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1C72"/>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4DC"/>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image" Target="media/image6.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479</Words>
  <Characters>3022</Characters>
  <Application>Microsoft Office Word</Application>
  <DocSecurity>0</DocSecurity>
  <Lines>25</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3495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2023-08-24T10:20:00Z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