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9F4D8" w14:textId="2CB03488" w:rsidR="0089279D" w:rsidRPr="0089279D" w:rsidRDefault="0089279D" w:rsidP="0089279D">
      <w:pPr>
        <w:spacing w:after="120" w:line="360" w:lineRule="auto"/>
        <w:ind w:left="567" w:right="1695"/>
        <w:rPr>
          <w:rFonts w:ascii="Arial" w:hAnsi="Arial" w:cs="Arial"/>
          <w:b/>
          <w:bCs/>
          <w:sz w:val="28"/>
          <w:szCs w:val="28"/>
        </w:rPr>
      </w:pPr>
      <w:r>
        <w:rPr>
          <w:rFonts w:ascii="Arial" w:hAnsi="Arial"/>
          <w:b/>
          <w:sz w:val="28"/>
        </w:rPr>
        <w:t>Entraînement hydraulique de pompe pour les pulvérisateurs portés UF 1602 et UF 2002</w:t>
      </w:r>
      <w:r w:rsidR="008F58CC">
        <w:rPr>
          <w:rFonts w:ascii="Arial" w:hAnsi="Arial"/>
          <w:b/>
          <w:sz w:val="28"/>
        </w:rPr>
        <w:t xml:space="preserve"> </w:t>
      </w:r>
    </w:p>
    <w:p w14:paraId="7DEE4033" w14:textId="77777777" w:rsidR="0089279D" w:rsidRPr="0089279D" w:rsidRDefault="0089279D" w:rsidP="0089279D">
      <w:pPr>
        <w:spacing w:line="360" w:lineRule="auto"/>
        <w:ind w:left="567" w:right="1695"/>
        <w:rPr>
          <w:rFonts w:ascii="Arial" w:hAnsi="Arial" w:cs="Arial"/>
          <w:b/>
          <w:bCs/>
        </w:rPr>
      </w:pPr>
      <w:r>
        <w:rPr>
          <w:rFonts w:ascii="Arial" w:hAnsi="Arial"/>
          <w:b/>
        </w:rPr>
        <w:t>Confort maximal pour les pulvérisateurs</w:t>
      </w:r>
    </w:p>
    <w:p w14:paraId="65EA582A" w14:textId="77777777" w:rsidR="00161FDD" w:rsidRDefault="00161FDD" w:rsidP="00161FDD">
      <w:pPr>
        <w:spacing w:line="360" w:lineRule="auto"/>
        <w:ind w:left="567" w:right="1695"/>
        <w:rPr>
          <w:rFonts w:ascii="Arial" w:hAnsi="Arial" w:cs="Arial"/>
        </w:rPr>
      </w:pPr>
    </w:p>
    <w:p w14:paraId="58ED6CA0" w14:textId="77777777" w:rsidR="0089279D" w:rsidRPr="0089279D" w:rsidRDefault="0089279D" w:rsidP="0089279D">
      <w:pPr>
        <w:spacing w:after="120" w:line="360" w:lineRule="auto"/>
        <w:ind w:left="567" w:right="1695"/>
        <w:rPr>
          <w:rFonts w:ascii="Arial" w:eastAsia="Arial" w:hAnsi="Arial" w:cs="Arial"/>
        </w:rPr>
      </w:pPr>
      <w:r>
        <w:rPr>
          <w:rFonts w:ascii="Arial" w:hAnsi="Arial"/>
        </w:rPr>
        <w:t xml:space="preserve">Pour les pulvérisateurs portés UF 1602 et UF 2002, AMAZONE propose un entraînement de pompe hydraulique complètement intégré, associé au pack Confort. </w:t>
      </w:r>
    </w:p>
    <w:p w14:paraId="276D119D" w14:textId="77777777" w:rsidR="0089279D" w:rsidRPr="0089279D" w:rsidRDefault="0089279D" w:rsidP="0089279D">
      <w:pPr>
        <w:spacing w:after="120" w:line="360" w:lineRule="auto"/>
        <w:ind w:left="567" w:right="1695"/>
        <w:rPr>
          <w:rFonts w:ascii="Arial" w:eastAsia="Arial" w:hAnsi="Arial" w:cs="Arial"/>
        </w:rPr>
      </w:pPr>
    </w:p>
    <w:p w14:paraId="1E49858F" w14:textId="77777777" w:rsidR="0089279D" w:rsidRDefault="0089279D" w:rsidP="0089279D">
      <w:pPr>
        <w:spacing w:after="120" w:line="360" w:lineRule="auto"/>
        <w:ind w:left="567" w:right="1695"/>
        <w:rPr>
          <w:rFonts w:ascii="Arial" w:eastAsia="Arial" w:hAnsi="Arial" w:cs="Arial"/>
        </w:rPr>
      </w:pPr>
      <w:r>
        <w:rPr>
          <w:rFonts w:ascii="Arial" w:hAnsi="Arial"/>
        </w:rPr>
        <w:t>L’entraînement hydraulique de pompe remplace le cardan, il simplifie grandement l’attelage sur différents tracteurs et il est exempt de maintenance.</w:t>
      </w:r>
    </w:p>
    <w:p w14:paraId="5D1B8525" w14:textId="77777777" w:rsidR="0089279D" w:rsidRPr="0089279D" w:rsidRDefault="0089279D" w:rsidP="0089279D">
      <w:pPr>
        <w:spacing w:after="120" w:line="360" w:lineRule="auto"/>
        <w:ind w:left="567" w:right="1695"/>
        <w:rPr>
          <w:rFonts w:ascii="Arial" w:eastAsia="Arial" w:hAnsi="Arial" w:cs="Arial"/>
        </w:rPr>
      </w:pPr>
    </w:p>
    <w:p w14:paraId="05958A68" w14:textId="77777777" w:rsidR="0089279D" w:rsidRPr="0089279D" w:rsidRDefault="0089279D" w:rsidP="0089279D">
      <w:pPr>
        <w:spacing w:after="120" w:line="360" w:lineRule="auto"/>
        <w:ind w:left="567" w:right="1695"/>
        <w:rPr>
          <w:rFonts w:ascii="Arial" w:eastAsia="Arial" w:hAnsi="Arial" w:cs="Arial"/>
          <w:b/>
          <w:bCs/>
        </w:rPr>
      </w:pPr>
      <w:r>
        <w:rPr>
          <w:rFonts w:ascii="Arial" w:hAnsi="Arial"/>
          <w:b/>
        </w:rPr>
        <w:t>Pilotage et régulation</w:t>
      </w:r>
    </w:p>
    <w:p w14:paraId="54EB67E2" w14:textId="77777777" w:rsidR="0089279D" w:rsidRPr="0089279D" w:rsidRDefault="0089279D" w:rsidP="0089279D">
      <w:pPr>
        <w:spacing w:after="120" w:line="360" w:lineRule="auto"/>
        <w:ind w:left="567" w:right="1695"/>
        <w:rPr>
          <w:rFonts w:ascii="Arial" w:eastAsia="Arial" w:hAnsi="Arial" w:cs="Arial"/>
        </w:rPr>
      </w:pPr>
      <w:r>
        <w:rPr>
          <w:rFonts w:ascii="Arial" w:hAnsi="Arial"/>
        </w:rPr>
        <w:t>La régulation de l’entraînement hydraulique de pompe est réalisée par le biais du bloc hydraulique à appel de charge du pulvérisateur. Le pilotage est intégralement réalisé via le logiciel ISOBUS de l’UF 02. Différents régimes de pompe sont enregistrés pour le remplissage, l’agitation et la pulvérisation. Une fois l’une des fonctions susmentionnées sélectionnée, la pompe règle automatiquement son régime et le maintient, quel que soit le régime du moteur du tracteur. Les surrégimes de pompe (&gt; 540 tr/min) sont impossibles.</w:t>
      </w:r>
    </w:p>
    <w:p w14:paraId="65FD3A77" w14:textId="77777777" w:rsidR="0089279D" w:rsidRPr="0089279D" w:rsidRDefault="0089279D" w:rsidP="0089279D">
      <w:pPr>
        <w:spacing w:after="120" w:line="360" w:lineRule="auto"/>
        <w:ind w:left="567" w:right="1695"/>
        <w:rPr>
          <w:rFonts w:ascii="Arial" w:eastAsia="Arial" w:hAnsi="Arial" w:cs="Arial"/>
        </w:rPr>
      </w:pPr>
    </w:p>
    <w:p w14:paraId="3EB8E09D" w14:textId="77777777" w:rsidR="0089279D" w:rsidRDefault="0089279D" w:rsidP="0089279D">
      <w:pPr>
        <w:spacing w:after="120" w:line="360" w:lineRule="auto"/>
        <w:ind w:left="567" w:right="1695"/>
        <w:rPr>
          <w:rFonts w:ascii="Arial" w:eastAsia="Arial" w:hAnsi="Arial" w:cs="Arial"/>
        </w:rPr>
      </w:pPr>
      <w:r>
        <w:rPr>
          <w:rFonts w:ascii="Arial" w:hAnsi="Arial"/>
        </w:rPr>
        <w:t>La consommation d'huile pour l'entraînement hydraulique de la pompe peut atteindre 50 l/min.</w:t>
      </w:r>
    </w:p>
    <w:p w14:paraId="5703069D" w14:textId="77777777" w:rsidR="0089279D" w:rsidRPr="0089279D" w:rsidRDefault="0089279D" w:rsidP="0089279D">
      <w:pPr>
        <w:spacing w:after="120" w:line="360" w:lineRule="auto"/>
        <w:ind w:left="567" w:right="1695"/>
        <w:rPr>
          <w:rFonts w:ascii="Arial" w:eastAsia="Arial" w:hAnsi="Arial" w:cs="Arial"/>
        </w:rPr>
      </w:pPr>
    </w:p>
    <w:p w14:paraId="558DCAC4" w14:textId="77777777" w:rsidR="0089279D" w:rsidRPr="0089279D" w:rsidRDefault="0089279D" w:rsidP="0089279D">
      <w:pPr>
        <w:spacing w:after="120" w:line="360" w:lineRule="auto"/>
        <w:ind w:left="567" w:right="1695"/>
        <w:rPr>
          <w:rFonts w:ascii="Arial" w:eastAsia="Arial" w:hAnsi="Arial" w:cs="Arial"/>
        </w:rPr>
      </w:pPr>
      <w:r>
        <w:rPr>
          <w:rFonts w:ascii="Arial" w:hAnsi="Arial"/>
          <w:b/>
        </w:rPr>
        <w:t>Remplissage</w:t>
      </w:r>
    </w:p>
    <w:p w14:paraId="3BA891FA" w14:textId="77777777" w:rsidR="0089279D" w:rsidRDefault="0089279D" w:rsidP="0089279D">
      <w:pPr>
        <w:spacing w:after="120" w:line="360" w:lineRule="auto"/>
        <w:ind w:left="567" w:right="1695"/>
        <w:rPr>
          <w:rFonts w:ascii="Arial" w:eastAsia="Arial" w:hAnsi="Arial" w:cs="Arial"/>
        </w:rPr>
      </w:pPr>
      <w:r>
        <w:rPr>
          <w:rFonts w:ascii="Arial" w:hAnsi="Arial"/>
        </w:rPr>
        <w:t xml:space="preserve">Au début du remplissage, la pompe est démarrée confortablement par le TwinTerminal 3.0, au niveau du SmartCenter de l’UF. Le démarrage de pompe se fait en douceur. Le régime de pompe se régule automatiquement et rapidement sur le régime enregistré précédemment. Le régime du moteur du tracteur n’est aucunement pris en compte. La puissance d’aspiration maximale </w:t>
      </w:r>
      <w:r>
        <w:rPr>
          <w:rFonts w:ascii="Arial" w:hAnsi="Arial"/>
        </w:rPr>
        <w:lastRenderedPageBreak/>
        <w:t>peut toujours être utilisée à plein régime sans aucun souci, car la commande réduit automatiquement les régimes supérieurs à 540 tr/min. En option, la pompe s’arrête automatiquement en atteignant le niveau de remplissage nominal.</w:t>
      </w:r>
    </w:p>
    <w:p w14:paraId="67081B4D" w14:textId="77777777" w:rsidR="0089279D" w:rsidRPr="0089279D" w:rsidRDefault="0089279D" w:rsidP="0089279D">
      <w:pPr>
        <w:spacing w:after="120" w:line="360" w:lineRule="auto"/>
        <w:ind w:left="567" w:right="1695"/>
        <w:rPr>
          <w:rFonts w:ascii="Arial" w:eastAsia="Arial" w:hAnsi="Arial" w:cs="Arial"/>
        </w:rPr>
      </w:pPr>
    </w:p>
    <w:p w14:paraId="4CF4F651" w14:textId="77777777" w:rsidR="0089279D" w:rsidRPr="0089279D" w:rsidRDefault="0089279D" w:rsidP="0089279D">
      <w:pPr>
        <w:spacing w:after="120" w:line="360" w:lineRule="auto"/>
        <w:ind w:left="567" w:right="1695"/>
        <w:rPr>
          <w:rFonts w:ascii="Arial" w:eastAsia="Arial" w:hAnsi="Arial" w:cs="Arial"/>
        </w:rPr>
      </w:pPr>
      <w:r>
        <w:rPr>
          <w:rFonts w:ascii="Arial" w:hAnsi="Arial"/>
          <w:b/>
        </w:rPr>
        <w:t>Application dans le champ</w:t>
      </w:r>
    </w:p>
    <w:p w14:paraId="23AB8E5B" w14:textId="3D0C3D9A" w:rsidR="00A574DC" w:rsidRDefault="0089279D" w:rsidP="0089279D">
      <w:pPr>
        <w:spacing w:after="120" w:line="360" w:lineRule="auto"/>
        <w:ind w:left="567" w:right="1695"/>
        <w:rPr>
          <w:rFonts w:ascii="Arial" w:eastAsia="Arial" w:hAnsi="Arial" w:cs="Arial"/>
        </w:rPr>
      </w:pPr>
      <w:r>
        <w:rPr>
          <w:rFonts w:ascii="Arial" w:hAnsi="Arial"/>
        </w:rPr>
        <w:t>Lors de pulvérisations sur les terrains vallonnés, le régime de pompe du pulvérisateur est maintenu constant à la valeur voulue, même s’il y a des variations du régime moteur du tracteur, par exemple en montée où le moteur accélère ou alors en descente avec un bas régime économe en carburant. Ceci garantit une utilisation optimale, la consommation de carburant étant réduite et la pompe protégée des surrégimes.</w:t>
      </w:r>
    </w:p>
    <w:p w14:paraId="2CC967C0" w14:textId="77777777" w:rsidR="009A1C72" w:rsidRDefault="009A1C72" w:rsidP="00677DC1">
      <w:pPr>
        <w:spacing w:after="120" w:line="360" w:lineRule="auto"/>
        <w:ind w:left="567" w:right="1695"/>
        <w:rPr>
          <w:rFonts w:ascii="Arial" w:eastAsia="Arial" w:hAnsi="Arial" w:cs="Arial"/>
        </w:rPr>
      </w:pPr>
    </w:p>
    <w:p w14:paraId="3F7C846A" w14:textId="77777777" w:rsidR="00A574DC" w:rsidRPr="00677DC1" w:rsidRDefault="00A574DC" w:rsidP="00677DC1">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69DD6218" w14:textId="4EB01380"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Entraînement de pompe indépendant du tracteur</w:t>
      </w:r>
    </w:p>
    <w:p w14:paraId="6D0914CC" w14:textId="3B0C9296"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Pompe préservée car les surrégimes sont évités</w:t>
      </w:r>
    </w:p>
    <w:p w14:paraId="106FCD66" w14:textId="304DC15B"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Attelage et dételage faciles</w:t>
      </w:r>
    </w:p>
    <w:p w14:paraId="2C277C20" w14:textId="62046297"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Économique en carburant</w:t>
      </w:r>
    </w:p>
    <w:p w14:paraId="0BB2E8B6" w14:textId="0086F1D0" w:rsidR="00496488"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Exempt de maintenance</w:t>
      </w:r>
    </w:p>
    <w:p w14:paraId="22E126C8" w14:textId="77777777" w:rsidR="00677DC1" w:rsidRDefault="00677DC1" w:rsidP="00161FDD">
      <w:pPr>
        <w:tabs>
          <w:tab w:val="left" w:pos="3550"/>
        </w:tabs>
        <w:spacing w:line="360" w:lineRule="auto"/>
        <w:ind w:left="567" w:right="1128"/>
        <w:rPr>
          <w:rFonts w:ascii="Arial" w:eastAsia="Arial" w:hAnsi="Arial" w:cs="Arial"/>
        </w:rPr>
      </w:pPr>
    </w:p>
    <w:p w14:paraId="48D78F05" w14:textId="77777777" w:rsidR="00677DC1" w:rsidRDefault="00677DC1" w:rsidP="00161FDD">
      <w:pPr>
        <w:tabs>
          <w:tab w:val="left" w:pos="3550"/>
        </w:tabs>
        <w:spacing w:line="360" w:lineRule="auto"/>
        <w:ind w:left="567" w:right="1128"/>
        <w:rPr>
          <w:rFonts w:ascii="Arial" w:eastAsia="Arial" w:hAnsi="Arial" w:cs="Arial"/>
        </w:rPr>
      </w:pPr>
    </w:p>
    <w:p w14:paraId="4243DB52" w14:textId="473BEEED" w:rsidR="00420C2E" w:rsidRDefault="009A1C72" w:rsidP="00161FDD">
      <w:pPr>
        <w:tabs>
          <w:tab w:val="left" w:pos="3550"/>
        </w:tabs>
        <w:spacing w:line="360" w:lineRule="auto"/>
        <w:ind w:left="567" w:right="1128"/>
        <w:rPr>
          <w:rFonts w:ascii="Arial" w:eastAsia="Arial" w:hAnsi="Arial" w:cs="Arial"/>
        </w:rPr>
      </w:pPr>
      <w:r>
        <w:rPr>
          <w:rFonts w:ascii="Arial" w:hAnsi="Arial"/>
          <w:noProof/>
        </w:rPr>
        <w:lastRenderedPageBreak/>
        <w:drawing>
          <wp:inline distT="0" distB="0" distL="0" distR="0" wp14:anchorId="6149DBE1" wp14:editId="08BE1387">
            <wp:extent cx="3477600" cy="2880000"/>
            <wp:effectExtent l="0" t="0" r="2540" b="3175"/>
            <wp:docPr id="2512644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264441" name="Grafik 2512644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A834B0D" w14:textId="77777777" w:rsidR="009A1C72" w:rsidRPr="009A1C72" w:rsidRDefault="009A1C72" w:rsidP="009A1C72">
      <w:pPr>
        <w:tabs>
          <w:tab w:val="left" w:pos="3550"/>
        </w:tabs>
        <w:spacing w:line="360" w:lineRule="auto"/>
        <w:ind w:left="567" w:right="1128"/>
        <w:rPr>
          <w:rFonts w:ascii="Arial" w:eastAsia="Arial" w:hAnsi="Arial" w:cs="Arial"/>
        </w:rPr>
      </w:pPr>
      <w:r>
        <w:rPr>
          <w:rFonts w:ascii="Arial" w:hAnsi="Arial"/>
        </w:rPr>
        <w:t>Utilisation économique en carburant d’un UF 2002 avec entraînement hydraulique de pompe sur les terrains vallonnés</w:t>
      </w:r>
    </w:p>
    <w:p w14:paraId="3077BE4E" w14:textId="77777777" w:rsidR="00420C2E" w:rsidRDefault="00420C2E" w:rsidP="00161FDD">
      <w:pPr>
        <w:tabs>
          <w:tab w:val="left" w:pos="3550"/>
        </w:tabs>
        <w:spacing w:line="360" w:lineRule="auto"/>
        <w:ind w:left="567" w:right="1128"/>
        <w:rPr>
          <w:rFonts w:ascii="Arial" w:eastAsia="Arial" w:hAnsi="Arial" w:cs="Arial"/>
        </w:rPr>
      </w:pPr>
    </w:p>
    <w:p w14:paraId="151866E0" w14:textId="77777777" w:rsidR="009A1C72" w:rsidRDefault="009A1C72" w:rsidP="00161FDD">
      <w:pPr>
        <w:tabs>
          <w:tab w:val="left" w:pos="3550"/>
        </w:tabs>
        <w:spacing w:line="360" w:lineRule="auto"/>
        <w:ind w:left="567" w:right="1128"/>
        <w:rPr>
          <w:rFonts w:ascii="Arial" w:eastAsia="Arial" w:hAnsi="Arial" w:cs="Arial"/>
        </w:rPr>
      </w:pPr>
    </w:p>
    <w:p w14:paraId="0747FE56" w14:textId="3292C064" w:rsidR="009A1C72" w:rsidRDefault="009A1C72"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42EB9D83" wp14:editId="704456AD">
            <wp:extent cx="4053600" cy="2880000"/>
            <wp:effectExtent l="0" t="0" r="0" b="3175"/>
            <wp:docPr id="86848675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86757" name="Grafik 86848675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F1AF666" w14:textId="77777777" w:rsidR="009A1C72" w:rsidRPr="009A1C72" w:rsidRDefault="009A1C72" w:rsidP="009A1C72">
      <w:pPr>
        <w:tabs>
          <w:tab w:val="left" w:pos="3550"/>
        </w:tabs>
        <w:spacing w:line="360" w:lineRule="auto"/>
        <w:ind w:left="567" w:right="1128"/>
        <w:rPr>
          <w:rFonts w:ascii="Arial" w:eastAsia="Arial" w:hAnsi="Arial" w:cs="Arial"/>
        </w:rPr>
      </w:pPr>
      <w:r>
        <w:rPr>
          <w:rFonts w:ascii="Arial" w:hAnsi="Arial"/>
        </w:rPr>
        <w:t>Entraînement hydraulique de la pompe de 300 l/min de l’UF 02</w:t>
      </w:r>
    </w:p>
    <w:p w14:paraId="4B03CB37" w14:textId="77777777" w:rsidR="00420C2E" w:rsidRDefault="00420C2E" w:rsidP="00161FDD">
      <w:pPr>
        <w:tabs>
          <w:tab w:val="left" w:pos="3550"/>
        </w:tabs>
        <w:spacing w:line="360" w:lineRule="auto"/>
        <w:ind w:left="567" w:right="1128"/>
        <w:rPr>
          <w:rFonts w:ascii="Arial" w:eastAsia="Arial" w:hAnsi="Arial" w:cs="Arial"/>
        </w:rPr>
      </w:pPr>
    </w:p>
    <w:p w14:paraId="3AE00B41" w14:textId="77777777" w:rsidR="009A1C72" w:rsidRDefault="009A1C72" w:rsidP="00161FDD">
      <w:pPr>
        <w:tabs>
          <w:tab w:val="left" w:pos="3550"/>
        </w:tabs>
        <w:spacing w:line="360" w:lineRule="auto"/>
        <w:ind w:left="567" w:right="1128"/>
        <w:rPr>
          <w:rFonts w:ascii="Arial" w:eastAsia="Arial" w:hAnsi="Arial" w:cs="Arial"/>
        </w:rPr>
      </w:pPr>
    </w:p>
    <w:p w14:paraId="0179A7DA" w14:textId="77777777" w:rsidR="0089279D" w:rsidRDefault="0089279D" w:rsidP="00161FDD">
      <w:pPr>
        <w:tabs>
          <w:tab w:val="left" w:pos="3550"/>
        </w:tabs>
        <w:spacing w:line="360" w:lineRule="auto"/>
        <w:ind w:left="567" w:right="1128"/>
        <w:rPr>
          <w:rFonts w:ascii="Arial" w:eastAsia="Arial" w:hAnsi="Arial" w:cs="Arial"/>
        </w:rPr>
      </w:pPr>
    </w:p>
    <w:p w14:paraId="49D1ECBC" w14:textId="77777777" w:rsidR="0089279D" w:rsidRDefault="0089279D" w:rsidP="00161FDD">
      <w:pPr>
        <w:tabs>
          <w:tab w:val="left" w:pos="3550"/>
        </w:tabs>
        <w:spacing w:line="360" w:lineRule="auto"/>
        <w:ind w:left="567" w:right="1128"/>
        <w:rPr>
          <w:rFonts w:ascii="Arial" w:eastAsia="Arial" w:hAnsi="Arial" w:cs="Arial"/>
        </w:rPr>
      </w:pPr>
    </w:p>
    <w:p w14:paraId="16CEEFA8" w14:textId="77777777" w:rsidR="00420C2E" w:rsidRDefault="00420C2E" w:rsidP="00161FDD">
      <w:pPr>
        <w:tabs>
          <w:tab w:val="left" w:pos="3550"/>
        </w:tabs>
        <w:spacing w:line="360" w:lineRule="auto"/>
        <w:ind w:left="567" w:right="1128"/>
        <w:rPr>
          <w:rFonts w:ascii="Arial" w:eastAsia="Arial" w:hAnsi="Arial" w:cs="Arial"/>
        </w:rPr>
      </w:pPr>
    </w:p>
    <w:p w14:paraId="0E1E272C" w14:textId="7C83B6F4"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possibilités de combinaison énumérées ne sont pas réalisables pour tous les fabricants de tracteurs.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7F8944CC" w14:textId="2729208C"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machines agricoles et espaces verts. L’entreprise dirigée par ses propriétaires emploie plus que 2 000 salariés sur neuf sites de production différents. Les outils de préparation du sol, les semoirs, les épandeurs d’engrais et les pulvérisateurs font partie de la gamme de production des machines agricoles. La marque de bineuses SCHMOTZER fait partie du groupe AMAZONE depuis 2019. Sur la base de ces compétences clés, AMAZONE est aujourd’hui spécialiste pour une "agriculture durable". Autres informations : </w:t>
      </w:r>
      <w:hyperlink r:id="rId11" w:history="1">
        <w:r>
          <w:rPr>
            <w:rStyle w:val="Hyperlink"/>
            <w:rFonts w:ascii="Arial" w:hAnsi="Arial"/>
            <w:sz w:val="20"/>
          </w:rPr>
          <w:t>www.amazone.fr</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544E9FF5">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537F4388">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24C3FB">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7B6A0A94">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8BCBB4A">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7"/>
      <w:headerReference w:type="default" r:id="rId28"/>
      <w:footerReference w:type="even" r:id="rId29"/>
      <w:footerReference w:type="default" r:id="rId30"/>
      <w:headerReference w:type="first" r:id="rId31"/>
      <w:footerReference w:type="first" r:id="rId32"/>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6573" w14:textId="77777777" w:rsidR="009633C6" w:rsidRDefault="009633C6">
      <w:r>
        <w:separator/>
      </w:r>
    </w:p>
  </w:endnote>
  <w:endnote w:type="continuationSeparator" w:id="0">
    <w:p w14:paraId="234C2EC5" w14:textId="77777777" w:rsidR="009633C6" w:rsidRDefault="0096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7B7E" w14:textId="77777777" w:rsidR="009633C6" w:rsidRDefault="009633C6">
      <w:r>
        <w:separator/>
      </w:r>
    </w:p>
  </w:footnote>
  <w:footnote w:type="continuationSeparator" w:id="0">
    <w:p w14:paraId="50F8D171" w14:textId="77777777" w:rsidR="009633C6" w:rsidRDefault="00963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5120BBD"/>
    <w:multiLevelType w:val="hybridMultilevel"/>
    <w:tmpl w:val="2BDAC3EA"/>
    <w:lvl w:ilvl="0" w:tplc="EDAA33C4">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7FC6615"/>
    <w:multiLevelType w:val="hybridMultilevel"/>
    <w:tmpl w:val="2680472C"/>
    <w:lvl w:ilvl="0" w:tplc="2FAA1B28">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9D7123A"/>
    <w:multiLevelType w:val="hybridMultilevel"/>
    <w:tmpl w:val="6CDEE87E"/>
    <w:lvl w:ilvl="0" w:tplc="040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9"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30E56C8F"/>
    <w:multiLevelType w:val="hybridMultilevel"/>
    <w:tmpl w:val="E006D7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4067CE8"/>
    <w:multiLevelType w:val="hybridMultilevel"/>
    <w:tmpl w:val="35EAD3D2"/>
    <w:lvl w:ilvl="0" w:tplc="60A637B2">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75E3EC7"/>
    <w:multiLevelType w:val="hybridMultilevel"/>
    <w:tmpl w:val="491E8BB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6610E5"/>
    <w:multiLevelType w:val="hybridMultilevel"/>
    <w:tmpl w:val="32D0B06C"/>
    <w:lvl w:ilvl="0" w:tplc="7D0CD0A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2CD687E"/>
    <w:multiLevelType w:val="hybridMultilevel"/>
    <w:tmpl w:val="F25A053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43FD778B"/>
    <w:multiLevelType w:val="hybridMultilevel"/>
    <w:tmpl w:val="895E7E56"/>
    <w:lvl w:ilvl="0" w:tplc="A568170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7D3317E"/>
    <w:multiLevelType w:val="hybridMultilevel"/>
    <w:tmpl w:val="FA8A0F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48540D44"/>
    <w:multiLevelType w:val="hybridMultilevel"/>
    <w:tmpl w:val="36DE4C1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4CF45D1"/>
    <w:multiLevelType w:val="hybridMultilevel"/>
    <w:tmpl w:val="64AA22E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567758BF"/>
    <w:multiLevelType w:val="hybridMultilevel"/>
    <w:tmpl w:val="BC083936"/>
    <w:lvl w:ilvl="0" w:tplc="EDAA33C4">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9" w15:restartNumberingAfterBreak="0">
    <w:nsid w:val="669B0665"/>
    <w:multiLevelType w:val="hybridMultilevel"/>
    <w:tmpl w:val="DA98A302"/>
    <w:lvl w:ilvl="0" w:tplc="9446E67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0" w15:restartNumberingAfterBreak="0">
    <w:nsid w:val="66E5351D"/>
    <w:multiLevelType w:val="hybridMultilevel"/>
    <w:tmpl w:val="5D70F1CE"/>
    <w:lvl w:ilvl="0" w:tplc="EDAA33C4">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9C448A6"/>
    <w:multiLevelType w:val="hybridMultilevel"/>
    <w:tmpl w:val="B8C26788"/>
    <w:lvl w:ilvl="0" w:tplc="EDAA33C4">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32" w15:restartNumberingAfterBreak="0">
    <w:nsid w:val="72794DD7"/>
    <w:multiLevelType w:val="hybridMultilevel"/>
    <w:tmpl w:val="135E3A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5602253"/>
    <w:multiLevelType w:val="hybridMultilevel"/>
    <w:tmpl w:val="045A2DB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13"/>
  </w:num>
  <w:num w:numId="2" w16cid:durableId="1510219160">
    <w:abstractNumId w:val="0"/>
  </w:num>
  <w:num w:numId="3" w16cid:durableId="613364659">
    <w:abstractNumId w:val="8"/>
  </w:num>
  <w:num w:numId="4" w16cid:durableId="1043675452">
    <w:abstractNumId w:val="9"/>
  </w:num>
  <w:num w:numId="5" w16cid:durableId="2011105495">
    <w:abstractNumId w:val="3"/>
  </w:num>
  <w:num w:numId="6" w16cid:durableId="240917465">
    <w:abstractNumId w:val="1"/>
  </w:num>
  <w:num w:numId="7" w16cid:durableId="750658751">
    <w:abstractNumId w:val="24"/>
  </w:num>
  <w:num w:numId="8" w16cid:durableId="294531490">
    <w:abstractNumId w:val="21"/>
  </w:num>
  <w:num w:numId="9" w16cid:durableId="2071071478">
    <w:abstractNumId w:val="7"/>
  </w:num>
  <w:num w:numId="10" w16cid:durableId="136532471">
    <w:abstractNumId w:val="15"/>
  </w:num>
  <w:num w:numId="11" w16cid:durableId="2055814173">
    <w:abstractNumId w:val="20"/>
  </w:num>
  <w:num w:numId="12" w16cid:durableId="636498599">
    <w:abstractNumId w:val="25"/>
  </w:num>
  <w:num w:numId="13" w16cid:durableId="118423553">
    <w:abstractNumId w:val="34"/>
  </w:num>
  <w:num w:numId="14" w16cid:durableId="1499079657">
    <w:abstractNumId w:val="26"/>
  </w:num>
  <w:num w:numId="15" w16cid:durableId="556353878">
    <w:abstractNumId w:val="28"/>
  </w:num>
  <w:num w:numId="16" w16cid:durableId="1202472297">
    <w:abstractNumId w:val="6"/>
  </w:num>
  <w:num w:numId="17" w16cid:durableId="50662991">
    <w:abstractNumId w:val="27"/>
  </w:num>
  <w:num w:numId="18" w16cid:durableId="57364874">
    <w:abstractNumId w:val="32"/>
  </w:num>
  <w:num w:numId="19" w16cid:durableId="270091963">
    <w:abstractNumId w:val="11"/>
  </w:num>
  <w:num w:numId="20" w16cid:durableId="518081582">
    <w:abstractNumId w:val="16"/>
  </w:num>
  <w:num w:numId="21" w16cid:durableId="756825060">
    <w:abstractNumId w:val="17"/>
  </w:num>
  <w:num w:numId="22" w16cid:durableId="2112163992">
    <w:abstractNumId w:val="19"/>
  </w:num>
  <w:num w:numId="23" w16cid:durableId="2081441875">
    <w:abstractNumId w:val="22"/>
  </w:num>
  <w:num w:numId="24" w16cid:durableId="592130352">
    <w:abstractNumId w:val="18"/>
  </w:num>
  <w:num w:numId="25" w16cid:durableId="1626614287">
    <w:abstractNumId w:val="14"/>
  </w:num>
  <w:num w:numId="26" w16cid:durableId="1359969215">
    <w:abstractNumId w:val="10"/>
  </w:num>
  <w:num w:numId="27" w16cid:durableId="1731995061">
    <w:abstractNumId w:val="29"/>
  </w:num>
  <w:num w:numId="28" w16cid:durableId="2005433713">
    <w:abstractNumId w:val="12"/>
  </w:num>
  <w:num w:numId="29" w16cid:durableId="1023476041">
    <w:abstractNumId w:val="30"/>
  </w:num>
  <w:num w:numId="30" w16cid:durableId="1410611730">
    <w:abstractNumId w:val="2"/>
  </w:num>
  <w:num w:numId="31" w16cid:durableId="1756586239">
    <w:abstractNumId w:val="31"/>
  </w:num>
  <w:num w:numId="32" w16cid:durableId="1712730855">
    <w:abstractNumId w:val="33"/>
  </w:num>
  <w:num w:numId="33" w16cid:durableId="655963705">
    <w:abstractNumId w:val="23"/>
  </w:num>
  <w:num w:numId="34" w16cid:durableId="1641766067">
    <w:abstractNumId w:val="4"/>
  </w:num>
  <w:num w:numId="35" w16cid:durableId="20183861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5B70"/>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4F8C"/>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329"/>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A7EAA"/>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123"/>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C2E"/>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6DB"/>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8BF"/>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77DC1"/>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3834"/>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B70"/>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79D"/>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8CC"/>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33C6"/>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1C72"/>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BF6"/>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4D"/>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4DC"/>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DE3"/>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franc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e.fr" TargetMode="External"/><Relationship Id="rId24" Type="http://schemas.openxmlformats.org/officeDocument/2006/relationships/hyperlink" Target="https://www.xing.com/company/amazon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505</Words>
  <Characters>3182</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