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3D4B8" w14:textId="77777777" w:rsidR="00014AA3" w:rsidRPr="00014AA3" w:rsidRDefault="00014AA3" w:rsidP="00014AA3">
      <w:pPr>
        <w:spacing w:line="360" w:lineRule="auto"/>
        <w:ind w:left="567" w:right="1695"/>
        <w:rPr>
          <w:rFonts w:ascii="Arial" w:hAnsi="Arial" w:cs="Arial"/>
          <w:b/>
          <w:bCs/>
          <w:sz w:val="28"/>
          <w:szCs w:val="28"/>
        </w:rPr>
      </w:pPr>
      <w:r>
        <w:rPr>
          <w:rFonts w:ascii="Arial" w:hAnsi="Arial"/>
          <w:b/>
          <w:sz w:val="28"/>
        </w:rPr>
        <w:t>Nueva sembradora monograno Precea 4500-2AFCC</w:t>
      </w:r>
    </w:p>
    <w:p w14:paraId="6F386FAF" w14:textId="77777777" w:rsidR="00014AA3" w:rsidRPr="00014AA3" w:rsidRDefault="00014AA3" w:rsidP="00014AA3">
      <w:pPr>
        <w:spacing w:line="360" w:lineRule="auto"/>
        <w:ind w:left="567" w:right="1695"/>
        <w:rPr>
          <w:rFonts w:ascii="Arial" w:hAnsi="Arial" w:cs="Arial"/>
          <w:b/>
          <w:bCs/>
        </w:rPr>
      </w:pPr>
      <w:r>
        <w:rPr>
          <w:rFonts w:ascii="Arial" w:hAnsi="Arial"/>
          <w:b/>
        </w:rPr>
        <w:t>Perfectamente adaptada al sistema de calles de 27 m</w:t>
      </w:r>
    </w:p>
    <w:p w14:paraId="77523A59" w14:textId="77777777" w:rsidR="00070765" w:rsidRDefault="00070765" w:rsidP="00330541">
      <w:pPr>
        <w:spacing w:line="360" w:lineRule="auto"/>
        <w:ind w:left="567" w:right="1695"/>
        <w:rPr>
          <w:rFonts w:ascii="Arial" w:hAnsi="Arial" w:cs="Arial"/>
        </w:rPr>
      </w:pPr>
    </w:p>
    <w:p w14:paraId="77A6FDD7" w14:textId="017220CC" w:rsidR="003375F3" w:rsidRPr="003375F3" w:rsidRDefault="003375F3" w:rsidP="003375F3">
      <w:pPr>
        <w:spacing w:after="120" w:line="360" w:lineRule="auto"/>
        <w:ind w:left="567" w:right="1695"/>
        <w:rPr>
          <w:rFonts w:ascii="Arial" w:eastAsia="Arial" w:hAnsi="Arial" w:cs="Arial"/>
        </w:rPr>
      </w:pPr>
      <w:r>
        <w:rPr>
          <w:rFonts w:ascii="Arial" w:hAnsi="Arial"/>
        </w:rPr>
        <w:t>Precea 4500-2AFCC es el nombre de la nueva sembradora monograno de AMAZONE. La sembradora monograno acoplada en montaje de tres puntos amplía la gama de productos Precea. La combinación con la preparación del lecho de siembra garantiza con una sola pasada la preparación de un lecho de siembra perfecto y la aplicación simultánea de las semillas a través del grupo de separación.</w:t>
      </w:r>
    </w:p>
    <w:p w14:paraId="5C6526A0" w14:textId="77777777" w:rsidR="003375F3" w:rsidRPr="003375F3" w:rsidRDefault="003375F3" w:rsidP="003375F3">
      <w:pPr>
        <w:spacing w:after="120" w:line="360" w:lineRule="auto"/>
        <w:ind w:left="567" w:right="1695"/>
        <w:rPr>
          <w:rFonts w:ascii="Arial" w:eastAsia="Arial" w:hAnsi="Arial" w:cs="Arial"/>
        </w:rPr>
      </w:pPr>
    </w:p>
    <w:p w14:paraId="2F87BC31"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Ampliación de la gama de productos Precea</w:t>
      </w:r>
    </w:p>
    <w:p w14:paraId="054B6524" w14:textId="77777777" w:rsidR="003375F3" w:rsidRPr="003375F3" w:rsidRDefault="003375F3" w:rsidP="003375F3">
      <w:pPr>
        <w:spacing w:after="120" w:line="360" w:lineRule="auto"/>
        <w:ind w:left="567" w:right="1695"/>
        <w:rPr>
          <w:rFonts w:ascii="Arial" w:eastAsia="Arial" w:hAnsi="Arial" w:cs="Arial"/>
        </w:rPr>
      </w:pPr>
      <w:r>
        <w:rPr>
          <w:rFonts w:ascii="Arial" w:hAnsi="Arial"/>
        </w:rPr>
        <w:t>AMAZONE ha lanzado con éxito la Precea 3000-AFCC con 4 o 6 hileras y un ancho de trabajo de 3 metros, así como la Precea 6000-2AFCC con 8 hileras y un ancho de trabajo de 6 metros. Con el nuevo ancho de trabajo de 4,5 m y 6 grupos de separación, AMAZONE ofrece ahora a los agricultores y contratistas una máquina que se adapta perfectamente a un sistema de calles de 27 m.</w:t>
      </w:r>
    </w:p>
    <w:p w14:paraId="3873D88A" w14:textId="77777777" w:rsidR="003375F3" w:rsidRPr="003375F3" w:rsidRDefault="003375F3" w:rsidP="003375F3">
      <w:pPr>
        <w:spacing w:after="120" w:line="360" w:lineRule="auto"/>
        <w:ind w:left="567" w:right="1695"/>
        <w:rPr>
          <w:rFonts w:ascii="Arial" w:eastAsia="Arial" w:hAnsi="Arial" w:cs="Arial"/>
        </w:rPr>
      </w:pPr>
    </w:p>
    <w:p w14:paraId="4F470464"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Combinación lógica</w:t>
      </w:r>
    </w:p>
    <w:p w14:paraId="72805D7F" w14:textId="77777777" w:rsidR="003375F3" w:rsidRPr="003375F3" w:rsidRDefault="003375F3" w:rsidP="003375F3">
      <w:pPr>
        <w:spacing w:after="120" w:line="360" w:lineRule="auto"/>
        <w:ind w:left="567" w:right="1695"/>
        <w:rPr>
          <w:rFonts w:ascii="Arial" w:eastAsia="Arial" w:hAnsi="Arial" w:cs="Arial"/>
        </w:rPr>
      </w:pPr>
      <w:r>
        <w:rPr>
          <w:rFonts w:ascii="Arial" w:hAnsi="Arial"/>
        </w:rPr>
        <w:t>Un lecho de siembra óptimamente preparado con condiciones de germinación uniformes constituye la base de una elevada germinación. La grada rotativa compacta KE 4502-2-300 nivela y desmenuza la tierra con las púas de arrastre. La separación de terrones gruesos y tierra fina en la zona del horizonte radicular crea unas condiciones de cultivo ideales. En función de las condiciones del terreno y de la profundidad de trabajo, se pueden alcanzar velocidades de desplazamiento de hasta 12 km/h, lo que permite aumentar el rendimiento.</w:t>
      </w:r>
    </w:p>
    <w:p w14:paraId="418FC3ED" w14:textId="77777777" w:rsidR="003375F3" w:rsidRPr="003375F3" w:rsidRDefault="003375F3" w:rsidP="003375F3">
      <w:pPr>
        <w:spacing w:after="120" w:line="360" w:lineRule="auto"/>
        <w:ind w:left="567" w:right="1695"/>
        <w:rPr>
          <w:rFonts w:ascii="Arial" w:eastAsia="Arial" w:hAnsi="Arial" w:cs="Arial"/>
        </w:rPr>
      </w:pPr>
    </w:p>
    <w:p w14:paraId="435C3F6D"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El nuevo sistema de cambio permite pasar rápidamente de la sembradora monograno Precea al tren de siembra Avant con rejas RoTeC. Complementadas por el FTender para el suministro de abono o semillas, las </w:t>
      </w:r>
      <w:r>
        <w:rPr>
          <w:rFonts w:ascii="Arial" w:hAnsi="Arial"/>
        </w:rPr>
        <w:lastRenderedPageBreak/>
        <w:t>máquinas solas forman una combinación de siembra muy flexible y extremadamente maniobrable.</w:t>
      </w:r>
    </w:p>
    <w:p w14:paraId="44FA1AC1" w14:textId="77777777" w:rsidR="003375F3" w:rsidRPr="003375F3" w:rsidRDefault="003375F3" w:rsidP="003375F3">
      <w:pPr>
        <w:spacing w:after="120" w:line="360" w:lineRule="auto"/>
        <w:ind w:left="567" w:right="1695"/>
        <w:rPr>
          <w:rFonts w:ascii="Arial" w:eastAsia="Arial" w:hAnsi="Arial" w:cs="Arial"/>
        </w:rPr>
      </w:pPr>
    </w:p>
    <w:p w14:paraId="49E13601" w14:textId="77777777" w:rsidR="003375F3" w:rsidRPr="003375F3" w:rsidRDefault="003375F3" w:rsidP="003375F3">
      <w:pPr>
        <w:spacing w:after="120" w:line="360" w:lineRule="auto"/>
        <w:ind w:left="567" w:right="1695"/>
        <w:rPr>
          <w:rFonts w:ascii="Arial" w:eastAsia="Arial" w:hAnsi="Arial" w:cs="Arial"/>
        </w:rPr>
      </w:pPr>
      <w:r>
        <w:rPr>
          <w:rFonts w:ascii="Arial" w:hAnsi="Arial"/>
        </w:rPr>
        <w:t>Los innumerables escenarios de aplicación y, en particular, la combinación de varios pasos de trabajo en una sola pasada hacen de la Precea 4500-2AFCC una máquina económicamente atractiva.</w:t>
      </w:r>
    </w:p>
    <w:p w14:paraId="5FE1A0AC" w14:textId="77777777" w:rsidR="003375F3" w:rsidRPr="003375F3" w:rsidRDefault="003375F3" w:rsidP="003375F3">
      <w:pPr>
        <w:spacing w:after="120" w:line="360" w:lineRule="auto"/>
        <w:ind w:left="567" w:right="1695"/>
        <w:rPr>
          <w:rFonts w:ascii="Arial" w:eastAsia="Arial" w:hAnsi="Arial" w:cs="Arial"/>
        </w:rPr>
      </w:pPr>
    </w:p>
    <w:p w14:paraId="6DDDDE4B"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Reja de siembra directa antierosiva PreTeC</w:t>
      </w:r>
    </w:p>
    <w:p w14:paraId="73A5CE17"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La acreditada reja de siembra directa antierosiva PreTeC se puede presurizar manualmente con una presión de reja de hasta 220 kg. La versión hidráulica permite incluso realizar ajustes de presión de hasta 350 kg directamente desde la cabina del tractor mientras se desplaza por el campo. Esto garantiza un funcionamiento suave y una germinación uniforme del campo cuando se utiliza para la siembra con arado y la siembra directa antierosiva. </w:t>
      </w:r>
    </w:p>
    <w:p w14:paraId="3AE0494F" w14:textId="77777777" w:rsidR="003375F3" w:rsidRPr="003375F3" w:rsidRDefault="003375F3" w:rsidP="003375F3">
      <w:pPr>
        <w:spacing w:after="120" w:line="360" w:lineRule="auto"/>
        <w:ind w:left="567" w:right="1695"/>
        <w:rPr>
          <w:rFonts w:ascii="Arial" w:eastAsia="Arial" w:hAnsi="Arial" w:cs="Arial"/>
        </w:rPr>
      </w:pPr>
    </w:p>
    <w:p w14:paraId="49692667" w14:textId="77777777" w:rsidR="003375F3" w:rsidRPr="003375F3" w:rsidRDefault="003375F3" w:rsidP="003375F3">
      <w:pPr>
        <w:spacing w:after="120" w:line="360" w:lineRule="auto"/>
        <w:ind w:left="567" w:right="1695"/>
        <w:rPr>
          <w:rFonts w:ascii="Arial" w:eastAsia="Arial" w:hAnsi="Arial" w:cs="Arial"/>
        </w:rPr>
      </w:pPr>
      <w:r>
        <w:rPr>
          <w:rFonts w:ascii="Arial" w:hAnsi="Arial"/>
        </w:rPr>
        <w:t>La unidad de reja puede ajustarse rápidamente a las condiciones del terreno sin necesidad de herramientas. La profundidad de colocación puede ajustarse individualmente mediante una trama perforada y llevarse a la posición de estacionamiento para aparcar la máquina. La presión de contacto y el ángulo de apertura de los rodillos de presión en V también se pueden ajustar muy fácilmente y sin herramientas. Toda la unidad de reja es fácilmente accesible y los cojinetes y casquillos libres de mantenimiento están protegidos de forma óptima contra el polvo.</w:t>
      </w:r>
    </w:p>
    <w:p w14:paraId="61F31AED" w14:textId="77777777" w:rsidR="003375F3" w:rsidRPr="003375F3" w:rsidRDefault="003375F3" w:rsidP="003375F3">
      <w:pPr>
        <w:spacing w:after="120" w:line="360" w:lineRule="auto"/>
        <w:ind w:left="567" w:right="1695"/>
        <w:rPr>
          <w:rFonts w:ascii="Arial" w:eastAsia="Arial" w:hAnsi="Arial" w:cs="Arial"/>
        </w:rPr>
      </w:pPr>
    </w:p>
    <w:p w14:paraId="465CEA50"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Separación por sobreimpresión precisa</w:t>
      </w:r>
    </w:p>
    <w:p w14:paraId="7595CE55"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En la Precea, la separación se realiza mediante sobrepresión de soplado. Tanto el depósito de semillas y como la dosificación completa están sometidos a sobrepresión. Los granos de semilla se alimentan desde un depósito de semillas al disco de separación respectivo, que está protegido herméticamente del dosificador, y se presionan contra los orificios perforados. La separación </w:t>
      </w:r>
      <w:r>
        <w:rPr>
          <w:rFonts w:ascii="Arial" w:hAnsi="Arial"/>
        </w:rPr>
        <w:lastRenderedPageBreak/>
        <w:t>exacta se realiza ahora mediante los 3 raspadores siguientes. A continuación, los granos llegan al canal de vertido, donde se interrumpe la presión de contacto y el grano se vierte con precisión hacia el surco de siembra y es detenido por el rodillo captador. Un sensor óptico supervisa con precisión la separación e informa al terminal del tractor de los puntos que faltan y de los puntos dobles. De este modo, los raspadores pueden ajustarse fácilmente. Un paso más en la expansión es el ajuste eléctrico y totalmente automático del rascador mediante SmartControl.</w:t>
      </w:r>
    </w:p>
    <w:p w14:paraId="0F1999D4" w14:textId="77777777" w:rsidR="003375F3" w:rsidRPr="003375F3" w:rsidRDefault="003375F3" w:rsidP="003375F3">
      <w:pPr>
        <w:spacing w:after="120" w:line="360" w:lineRule="auto"/>
        <w:ind w:left="567" w:right="1695"/>
        <w:rPr>
          <w:rFonts w:ascii="Arial" w:eastAsia="Arial" w:hAnsi="Arial" w:cs="Arial"/>
        </w:rPr>
      </w:pPr>
    </w:p>
    <w:p w14:paraId="642F12BC"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Depósito de montaje frontal FTender para una distribución óptima del peso</w:t>
      </w:r>
    </w:p>
    <w:p w14:paraId="7CEEA364"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Para lograr el máximo rendimiento, la Precea 4500-2AFCC está equipada con el nuevo depósito de montaje frontal FTender para la fertilización. Las capacidades de llenado de 1600 l o 2200 l permiten reducir el tiempo de inactividad y, por tanto, aumentar el rendimiento. El FTender está equipado de serie con medición eléctrica y control a través del terminal ISOBUS. La calibración es posible directamente en el contenedor de montaje frontal utilizando el TwinTerminal opcional. La báscula suministrada y un cubo plegable se guardan de forma segura cerca del dosificador de fácil acceso. </w:t>
      </w:r>
    </w:p>
    <w:p w14:paraId="69FF1F26" w14:textId="77777777" w:rsidR="003375F3" w:rsidRPr="003375F3" w:rsidRDefault="003375F3" w:rsidP="003375F3">
      <w:pPr>
        <w:spacing w:after="120" w:line="360" w:lineRule="auto"/>
        <w:ind w:left="567" w:right="1695"/>
        <w:rPr>
          <w:rFonts w:ascii="Arial" w:eastAsia="Arial" w:hAnsi="Arial" w:cs="Arial"/>
        </w:rPr>
      </w:pPr>
    </w:p>
    <w:p w14:paraId="7B5ADD54" w14:textId="77777777" w:rsidR="003375F3" w:rsidRPr="003375F3" w:rsidRDefault="003375F3" w:rsidP="003375F3">
      <w:pPr>
        <w:spacing w:after="120" w:line="360" w:lineRule="auto"/>
        <w:ind w:left="567" w:right="1695"/>
        <w:rPr>
          <w:rFonts w:ascii="Arial" w:eastAsia="Arial" w:hAnsi="Arial" w:cs="Arial"/>
        </w:rPr>
      </w:pPr>
      <w:r>
        <w:rPr>
          <w:rFonts w:ascii="Arial" w:hAnsi="Arial"/>
        </w:rPr>
        <w:t>El FTender ofrece un valor añadido, ya que también puede utilizarse como depósito de semillas en la combinación de sembradoras Avant 02. Pero también puede combinarse con la tecnología de laboreo del suelo AMAZONE para, por ejemplo, esparcir cultivos intermedios y/o abono en una sola pasada.</w:t>
      </w:r>
    </w:p>
    <w:p w14:paraId="67E9C843" w14:textId="77777777" w:rsidR="003375F3" w:rsidRPr="003375F3" w:rsidRDefault="003375F3" w:rsidP="003375F3">
      <w:pPr>
        <w:spacing w:after="120" w:line="360" w:lineRule="auto"/>
        <w:ind w:left="567" w:right="1695"/>
        <w:rPr>
          <w:rFonts w:ascii="Arial" w:eastAsia="Arial" w:hAnsi="Arial" w:cs="Arial"/>
        </w:rPr>
      </w:pPr>
    </w:p>
    <w:p w14:paraId="0EB4AFFF"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Control de máquinas</w:t>
      </w:r>
    </w:p>
    <w:p w14:paraId="195FF01F" w14:textId="44D09491" w:rsidR="00AE1395" w:rsidRDefault="003375F3" w:rsidP="003375F3">
      <w:pPr>
        <w:spacing w:after="120" w:line="360" w:lineRule="auto"/>
        <w:ind w:left="567" w:right="1695"/>
        <w:rPr>
          <w:rFonts w:ascii="Arial" w:eastAsia="Arial" w:hAnsi="Arial" w:cs="Arial"/>
        </w:rPr>
      </w:pPr>
      <w:r>
        <w:rPr>
          <w:rFonts w:ascii="Arial" w:hAnsi="Arial"/>
        </w:rPr>
        <w:t xml:space="preserve">Los grupos de separación Precea y el tren de siembra Avant se controlan exclusivamente mediante ISOBUS. El tanque frontal FTender está integrado en el sistema de control de la máquina, de modo que la combinación </w:t>
      </w:r>
      <w:r>
        <w:rPr>
          <w:rFonts w:ascii="Arial" w:hAnsi="Arial"/>
        </w:rPr>
        <w:lastRenderedPageBreak/>
        <w:t>frontal/trasera se maneja como una sola máquina y también se visualiza en el propio software de AMAZONE.</w:t>
      </w:r>
    </w:p>
    <w:p w14:paraId="1CFA8EB4" w14:textId="77777777" w:rsidR="00CA3ABB" w:rsidRDefault="00CA3ABB"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3B7CE37" w14:textId="3231C1B9" w:rsidR="003375F3" w:rsidRPr="003375F3"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Ahorro de tiempo: las labores del suelo con la grada rotativa KE Rotamix y la siembra con Precea en una sola pasada garantizan la máxima eficacia y ahorro de tiempo</w:t>
      </w:r>
    </w:p>
    <w:p w14:paraId="0D6ECFC7" w14:textId="585CA4D0" w:rsidR="003375F3" w:rsidRPr="003375F3"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Ahorro de agua: siembra en un solo paso con preparación del lecho de siembra, minimizando la pérdida de agua del suelo</w:t>
      </w:r>
    </w:p>
    <w:p w14:paraId="5E22CA05" w14:textId="16CEC8AB" w:rsidR="00F17946"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Mayor utilización de la tecnología: nuevo sistema intercambiable para la grada rotativa KE 4502-2-300 Rotamix para utilizar con el tren de siembra Precea o Avant</w:t>
      </w:r>
    </w:p>
    <w:p w14:paraId="17963337" w14:textId="77777777" w:rsidR="00E55BAE" w:rsidRDefault="00E55BAE" w:rsidP="00E55BAE">
      <w:pPr>
        <w:spacing w:after="120" w:line="360" w:lineRule="auto"/>
        <w:ind w:left="708" w:right="1695"/>
        <w:rPr>
          <w:rFonts w:ascii="Arial" w:eastAsia="Arial" w:hAnsi="Arial" w:cs="Arial"/>
        </w:rPr>
      </w:pPr>
    </w:p>
    <w:p w14:paraId="588A9DF2" w14:textId="14E47A18"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1C2CB0C7" wp14:editId="76226997">
            <wp:extent cx="3477600" cy="2880000"/>
            <wp:effectExtent l="0" t="0" r="2540" b="3175"/>
            <wp:docPr id="36131020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10208" name="Grafik 3613102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0BB45F2" w14:textId="77777777" w:rsidR="00E55BAE" w:rsidRPr="00E55BAE" w:rsidRDefault="00E55BAE" w:rsidP="00E55BAE">
      <w:pPr>
        <w:spacing w:after="120" w:line="360" w:lineRule="auto"/>
        <w:ind w:left="708" w:right="1695"/>
        <w:rPr>
          <w:rFonts w:ascii="Arial" w:eastAsia="Arial" w:hAnsi="Arial" w:cs="Arial"/>
        </w:rPr>
      </w:pPr>
      <w:r>
        <w:rPr>
          <w:rFonts w:ascii="Arial" w:hAnsi="Arial"/>
        </w:rPr>
        <w:t>Sembradora monograno Precea 4500-2AFCC con tecnología de laboreo activo del suelo</w:t>
      </w:r>
    </w:p>
    <w:p w14:paraId="741791A2" w14:textId="77777777" w:rsidR="00E55BAE" w:rsidRDefault="00E55BAE" w:rsidP="00E55BAE">
      <w:pPr>
        <w:spacing w:after="120" w:line="360" w:lineRule="auto"/>
        <w:ind w:left="708" w:right="1695"/>
        <w:rPr>
          <w:rFonts w:ascii="Arial" w:eastAsia="Arial" w:hAnsi="Arial" w:cs="Arial"/>
        </w:rPr>
      </w:pPr>
    </w:p>
    <w:p w14:paraId="5715120E" w14:textId="77777777" w:rsidR="00E55BAE" w:rsidRDefault="00E55BAE" w:rsidP="00E55BAE">
      <w:pPr>
        <w:spacing w:after="120" w:line="360" w:lineRule="auto"/>
        <w:ind w:left="708" w:right="1695"/>
        <w:rPr>
          <w:rFonts w:ascii="Arial" w:eastAsia="Arial" w:hAnsi="Arial" w:cs="Arial"/>
        </w:rPr>
      </w:pPr>
    </w:p>
    <w:p w14:paraId="02A1AA4F" w14:textId="2F2A3DA2"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028B292D" wp14:editId="53476CB6">
            <wp:extent cx="1440000" cy="1440000"/>
            <wp:effectExtent l="0" t="0" r="0" b="0"/>
            <wp:docPr id="9861770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77011" name="Grafik 9861770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135DA1B" w14:textId="77777777" w:rsidR="00E55BAE" w:rsidRPr="00E55BAE" w:rsidRDefault="00E55BAE" w:rsidP="00E55BAE">
      <w:pPr>
        <w:spacing w:after="120" w:line="360" w:lineRule="auto"/>
        <w:ind w:left="708"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www.amazone.net/yt-Precea-4500-2AFCC</w:t>
      </w:r>
    </w:p>
    <w:p w14:paraId="043FDC17" w14:textId="77777777" w:rsidR="00E55BAE" w:rsidRDefault="00E55BAE" w:rsidP="00E55BAE">
      <w:pPr>
        <w:spacing w:after="120" w:line="360" w:lineRule="auto"/>
        <w:ind w:left="708" w:right="1695"/>
        <w:rPr>
          <w:rFonts w:ascii="Arial" w:eastAsia="Arial" w:hAnsi="Arial" w:cs="Arial"/>
        </w:rPr>
      </w:pPr>
    </w:p>
    <w:p w14:paraId="0F113E6E" w14:textId="77777777" w:rsidR="00E55BAE" w:rsidRDefault="00E55BAE" w:rsidP="00E55BAE">
      <w:pPr>
        <w:spacing w:after="120" w:line="360" w:lineRule="auto"/>
        <w:ind w:left="708" w:right="1695"/>
        <w:rPr>
          <w:rFonts w:ascii="Arial" w:eastAsia="Arial" w:hAnsi="Arial" w:cs="Arial"/>
        </w:rPr>
      </w:pPr>
    </w:p>
    <w:p w14:paraId="19BF69D9" w14:textId="22DFAEE3"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7A4503B4" wp14:editId="3C84F212">
            <wp:extent cx="2275200" cy="2880000"/>
            <wp:effectExtent l="0" t="0" r="0" b="3175"/>
            <wp:docPr id="6271927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9276" name="Grafik 6271927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5200" cy="2880000"/>
                    </a:xfrm>
                    <a:prstGeom prst="rect">
                      <a:avLst/>
                    </a:prstGeom>
                  </pic:spPr>
                </pic:pic>
              </a:graphicData>
            </a:graphic>
          </wp:inline>
        </w:drawing>
      </w:r>
    </w:p>
    <w:p w14:paraId="715175C7" w14:textId="77777777" w:rsidR="00E55BAE" w:rsidRPr="00E55BAE" w:rsidRDefault="00E55BAE" w:rsidP="00E55BAE">
      <w:pPr>
        <w:spacing w:after="120" w:line="360" w:lineRule="auto"/>
        <w:ind w:left="708" w:right="1695"/>
        <w:rPr>
          <w:rFonts w:ascii="Arial" w:eastAsia="Arial" w:hAnsi="Arial" w:cs="Arial"/>
        </w:rPr>
      </w:pPr>
      <w:r>
        <w:rPr>
          <w:rFonts w:ascii="Arial" w:hAnsi="Arial"/>
        </w:rPr>
        <w:t>Punto de acoplamiento para el cambio rápido entre unidades de siembra Precea y tren de siembra Avant 02</w:t>
      </w:r>
    </w:p>
    <w:p w14:paraId="7F1BFD69" w14:textId="77777777" w:rsidR="00E55BAE" w:rsidRDefault="00E55BAE" w:rsidP="00E55BAE">
      <w:pPr>
        <w:spacing w:after="120" w:line="360" w:lineRule="auto"/>
        <w:ind w:left="708" w:right="1695"/>
        <w:rPr>
          <w:rFonts w:ascii="Arial" w:eastAsia="Arial" w:hAnsi="Arial" w:cs="Arial"/>
        </w:rPr>
      </w:pPr>
    </w:p>
    <w:p w14:paraId="514B3DB0" w14:textId="77777777" w:rsidR="00E55BAE" w:rsidRDefault="00E55BAE" w:rsidP="00E55BAE">
      <w:pPr>
        <w:spacing w:after="120" w:line="360" w:lineRule="auto"/>
        <w:ind w:left="708" w:right="1695"/>
        <w:rPr>
          <w:rFonts w:ascii="Arial" w:eastAsia="Arial" w:hAnsi="Arial" w:cs="Arial"/>
        </w:rPr>
      </w:pPr>
    </w:p>
    <w:p w14:paraId="2CFF4959" w14:textId="5DD95016"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74E23F92" wp14:editId="626E4CCB">
            <wp:extent cx="4064400" cy="2880000"/>
            <wp:effectExtent l="0" t="0" r="0" b="3175"/>
            <wp:docPr id="107951181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511819" name="Grafik 10795118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68F52FD" w14:textId="77777777" w:rsidR="00E55BAE" w:rsidRPr="00E55BAE" w:rsidRDefault="00E55BAE" w:rsidP="00E55BAE">
      <w:pPr>
        <w:spacing w:after="120" w:line="360" w:lineRule="auto"/>
        <w:ind w:left="708" w:right="1695"/>
        <w:rPr>
          <w:rFonts w:ascii="Arial" w:eastAsia="Arial" w:hAnsi="Arial" w:cs="Arial"/>
        </w:rPr>
      </w:pPr>
      <w:r>
        <w:rPr>
          <w:rFonts w:ascii="Arial" w:hAnsi="Arial"/>
        </w:rPr>
        <w:t>Los grupos de separación Precea, montados en la KE 4502-2-300 Rotamix, garantizan una colocación precisa de las semillas.</w:t>
      </w:r>
    </w:p>
    <w:p w14:paraId="15D9EE21" w14:textId="77777777" w:rsidR="00E55BAE" w:rsidRDefault="00E55BAE" w:rsidP="00E55BAE">
      <w:pPr>
        <w:spacing w:after="120" w:line="360" w:lineRule="auto"/>
        <w:ind w:left="708" w:right="1695"/>
        <w:rPr>
          <w:rFonts w:ascii="Arial" w:eastAsia="Arial" w:hAnsi="Arial" w:cs="Arial"/>
        </w:rPr>
      </w:pPr>
    </w:p>
    <w:p w14:paraId="138C38AB" w14:textId="76EAC836"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280FC30B" wp14:editId="45DA4AA4">
            <wp:extent cx="4064400" cy="2880000"/>
            <wp:effectExtent l="0" t="0" r="0" b="3175"/>
            <wp:docPr id="303896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96855" name="Grafik 303896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8EC0DE4" w14:textId="77777777" w:rsidR="00E55BAE" w:rsidRPr="00E55BAE" w:rsidRDefault="00E55BAE" w:rsidP="00E55BAE">
      <w:pPr>
        <w:spacing w:after="120" w:line="360" w:lineRule="auto"/>
        <w:ind w:left="708" w:right="1695"/>
        <w:rPr>
          <w:rFonts w:ascii="Arial" w:eastAsia="Arial" w:hAnsi="Arial" w:cs="Arial"/>
        </w:rPr>
      </w:pPr>
      <w:r>
        <w:rPr>
          <w:rFonts w:ascii="Arial" w:hAnsi="Arial"/>
        </w:rPr>
        <w:t>Depósito de montaje frontal FTender 2200 como depósito de abono para la siembra de maíz</w:t>
      </w:r>
    </w:p>
    <w:p w14:paraId="522A77B7" w14:textId="77777777" w:rsidR="00E55BAE" w:rsidRDefault="00E55BAE" w:rsidP="00E55BAE">
      <w:pPr>
        <w:spacing w:after="120" w:line="360" w:lineRule="auto"/>
        <w:ind w:left="708" w:right="1695"/>
        <w:rPr>
          <w:rFonts w:ascii="Arial" w:eastAsia="Arial" w:hAnsi="Arial" w:cs="Arial"/>
        </w:rPr>
      </w:pPr>
    </w:p>
    <w:p w14:paraId="6C788772" w14:textId="3E5A06B8"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1EC090DF" wp14:editId="164A9246">
            <wp:extent cx="6120000" cy="2109600"/>
            <wp:effectExtent l="0" t="0" r="1905" b="0"/>
            <wp:docPr id="173240761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07619" name="Grafik 17324076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CD4D829" w14:textId="77777777" w:rsidR="00E55BAE" w:rsidRPr="00E55BAE" w:rsidRDefault="00E55BAE" w:rsidP="00E55BAE">
      <w:pPr>
        <w:spacing w:after="120" w:line="360" w:lineRule="auto"/>
        <w:ind w:left="708" w:right="1695"/>
        <w:rPr>
          <w:rFonts w:ascii="Arial" w:eastAsia="Arial" w:hAnsi="Arial" w:cs="Arial"/>
        </w:rPr>
      </w:pPr>
      <w:r>
        <w:rPr>
          <w:rFonts w:ascii="Arial" w:hAnsi="Arial"/>
        </w:rPr>
        <w:t>Precea 4500-2AFCC con depósito de montaje frontal FTender 2200</w:t>
      </w:r>
    </w:p>
    <w:p w14:paraId="4735F058" w14:textId="77777777" w:rsidR="00E55BAE" w:rsidRPr="00E55BAE" w:rsidRDefault="00E55BAE" w:rsidP="00E55BAE">
      <w:pPr>
        <w:spacing w:after="120" w:line="360" w:lineRule="auto"/>
        <w:ind w:left="708" w:right="1695"/>
        <w:rPr>
          <w:rFonts w:ascii="Arial" w:eastAsia="Arial" w:hAnsi="Arial" w:cs="Arial"/>
        </w:rPr>
      </w:pPr>
    </w:p>
    <w:p w14:paraId="637660F8" w14:textId="77777777" w:rsidR="00E55BAE" w:rsidRPr="00E55BAE" w:rsidRDefault="00E55BAE" w:rsidP="00E55BAE">
      <w:pPr>
        <w:spacing w:after="120" w:line="360" w:lineRule="auto"/>
        <w:ind w:right="1695"/>
        <w:rPr>
          <w:rFonts w:ascii="Arial" w:eastAsia="Arial" w:hAnsi="Arial" w:cs="Arial"/>
        </w:rPr>
      </w:pPr>
    </w:p>
    <w:p w14:paraId="4EE48FC1" w14:textId="77777777" w:rsidR="00F17946" w:rsidRDefault="00F17946" w:rsidP="00F17946">
      <w:pPr>
        <w:spacing w:after="120" w:line="360" w:lineRule="auto"/>
        <w:ind w:right="1695"/>
        <w:rPr>
          <w:rFonts w:ascii="Arial" w:eastAsia="Arial" w:hAnsi="Arial" w:cs="Arial"/>
        </w:rPr>
      </w:pPr>
    </w:p>
    <w:p w14:paraId="049246DE" w14:textId="77777777" w:rsidR="00E55BAE" w:rsidRDefault="00E55BAE" w:rsidP="00F17946">
      <w:pPr>
        <w:spacing w:after="120" w:line="360" w:lineRule="auto"/>
        <w:ind w:right="1695"/>
        <w:rPr>
          <w:rFonts w:ascii="Arial" w:eastAsia="Arial" w:hAnsi="Arial" w:cs="Arial"/>
        </w:rPr>
      </w:pPr>
    </w:p>
    <w:p w14:paraId="36CF12DA" w14:textId="77777777" w:rsidR="00E55BAE" w:rsidRPr="00F4316E" w:rsidRDefault="00E55BAE"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5"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7FA5A" w14:textId="77777777" w:rsidR="00CA2C7F" w:rsidRDefault="00CA2C7F">
      <w:r>
        <w:separator/>
      </w:r>
    </w:p>
  </w:endnote>
  <w:endnote w:type="continuationSeparator" w:id="0">
    <w:p w14:paraId="4AEE1346" w14:textId="77777777" w:rsidR="00CA2C7F" w:rsidRDefault="00CA2C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5B34EA" w14:textId="77777777" w:rsidR="00CA2C7F" w:rsidRDefault="00CA2C7F">
      <w:r>
        <w:separator/>
      </w:r>
    </w:p>
  </w:footnote>
  <w:footnote w:type="continuationSeparator" w:id="0">
    <w:p w14:paraId="2F5A2323" w14:textId="77777777" w:rsidR="00CA2C7F" w:rsidRDefault="00CA2C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2"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1"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3"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4"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8"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3"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5"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6"/>
  </w:num>
  <w:num w:numId="2" w16cid:durableId="1510219160">
    <w:abstractNumId w:val="2"/>
  </w:num>
  <w:num w:numId="3" w16cid:durableId="613364659">
    <w:abstractNumId w:val="11"/>
  </w:num>
  <w:num w:numId="4" w16cid:durableId="1043675452">
    <w:abstractNumId w:val="20"/>
  </w:num>
  <w:num w:numId="5" w16cid:durableId="2011105495">
    <w:abstractNumId w:val="6"/>
  </w:num>
  <w:num w:numId="6" w16cid:durableId="494960578">
    <w:abstractNumId w:val="1"/>
  </w:num>
  <w:num w:numId="7" w16cid:durableId="2097939876">
    <w:abstractNumId w:val="40"/>
  </w:num>
  <w:num w:numId="8" w16cid:durableId="33434184">
    <w:abstractNumId w:val="28"/>
  </w:num>
  <w:num w:numId="9" w16cid:durableId="274018629">
    <w:abstractNumId w:val="37"/>
  </w:num>
  <w:num w:numId="10" w16cid:durableId="1622229493">
    <w:abstractNumId w:val="39"/>
  </w:num>
  <w:num w:numId="11" w16cid:durableId="280575959">
    <w:abstractNumId w:val="32"/>
  </w:num>
  <w:num w:numId="12" w16cid:durableId="169492611">
    <w:abstractNumId w:val="42"/>
  </w:num>
  <w:num w:numId="13" w16cid:durableId="711804392">
    <w:abstractNumId w:val="44"/>
  </w:num>
  <w:num w:numId="14" w16cid:durableId="614945063">
    <w:abstractNumId w:val="4"/>
  </w:num>
  <w:num w:numId="15" w16cid:durableId="787310930">
    <w:abstractNumId w:val="25"/>
  </w:num>
  <w:num w:numId="16" w16cid:durableId="1954821959">
    <w:abstractNumId w:val="27"/>
  </w:num>
  <w:num w:numId="17" w16cid:durableId="1429236192">
    <w:abstractNumId w:val="3"/>
  </w:num>
  <w:num w:numId="18" w16cid:durableId="801196723">
    <w:abstractNumId w:val="46"/>
  </w:num>
  <w:num w:numId="19" w16cid:durableId="595864091">
    <w:abstractNumId w:val="15"/>
  </w:num>
  <w:num w:numId="20" w16cid:durableId="2085832550">
    <w:abstractNumId w:val="36"/>
  </w:num>
  <w:num w:numId="21" w16cid:durableId="1235970655">
    <w:abstractNumId w:val="0"/>
  </w:num>
  <w:num w:numId="22" w16cid:durableId="454446071">
    <w:abstractNumId w:val="14"/>
  </w:num>
  <w:num w:numId="23" w16cid:durableId="1538158893">
    <w:abstractNumId w:val="5"/>
  </w:num>
  <w:num w:numId="24" w16cid:durableId="1042562684">
    <w:abstractNumId w:val="41"/>
  </w:num>
  <w:num w:numId="25" w16cid:durableId="952515695">
    <w:abstractNumId w:val="13"/>
  </w:num>
  <w:num w:numId="26" w16cid:durableId="741101877">
    <w:abstractNumId w:val="22"/>
  </w:num>
  <w:num w:numId="27" w16cid:durableId="1955868104">
    <w:abstractNumId w:val="12"/>
  </w:num>
  <w:num w:numId="28" w16cid:durableId="1288392759">
    <w:abstractNumId w:val="19"/>
  </w:num>
  <w:num w:numId="29" w16cid:durableId="1930917636">
    <w:abstractNumId w:val="17"/>
  </w:num>
  <w:num w:numId="30" w16cid:durableId="133837937">
    <w:abstractNumId w:val="8"/>
  </w:num>
  <w:num w:numId="31" w16cid:durableId="1949579619">
    <w:abstractNumId w:val="34"/>
  </w:num>
  <w:num w:numId="32" w16cid:durableId="2112696074">
    <w:abstractNumId w:val="29"/>
  </w:num>
  <w:num w:numId="33" w16cid:durableId="168763437">
    <w:abstractNumId w:val="10"/>
  </w:num>
  <w:num w:numId="34" w16cid:durableId="740366733">
    <w:abstractNumId w:val="38"/>
  </w:num>
  <w:num w:numId="35" w16cid:durableId="397358972">
    <w:abstractNumId w:val="21"/>
  </w:num>
  <w:num w:numId="36" w16cid:durableId="2060278956">
    <w:abstractNumId w:val="45"/>
  </w:num>
  <w:num w:numId="37" w16cid:durableId="1624076177">
    <w:abstractNumId w:val="35"/>
  </w:num>
  <w:num w:numId="38" w16cid:durableId="1617178793">
    <w:abstractNumId w:val="33"/>
  </w:num>
  <w:num w:numId="39" w16cid:durableId="1835024161">
    <w:abstractNumId w:val="16"/>
  </w:num>
  <w:num w:numId="40" w16cid:durableId="978071882">
    <w:abstractNumId w:val="7"/>
  </w:num>
  <w:num w:numId="41" w16cid:durableId="326906566">
    <w:abstractNumId w:val="30"/>
  </w:num>
  <w:num w:numId="42" w16cid:durableId="752749325">
    <w:abstractNumId w:val="23"/>
  </w:num>
  <w:num w:numId="43" w16cid:durableId="915671095">
    <w:abstractNumId w:val="31"/>
  </w:num>
  <w:num w:numId="44" w16cid:durableId="802966989">
    <w:abstractNumId w:val="43"/>
  </w:num>
  <w:num w:numId="45" w16cid:durableId="1361593064">
    <w:abstractNumId w:val="24"/>
  </w:num>
  <w:num w:numId="46" w16cid:durableId="1874146101">
    <w:abstractNumId w:val="18"/>
  </w:num>
  <w:num w:numId="47" w16cid:durableId="15698773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CF1"/>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5117"/>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36"/>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C7F"/>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1E19"/>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BAE"/>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4270"/>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es"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999</Words>
  <Characters>6295</Characters>
  <Application>Microsoft Office Word</Application>
  <DocSecurity>0</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7280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2025-08-18T10:55:00Z</dcterms:created>
  <dcterms:modified xsi:type="dcterms:W3CDTF">2025-09-01T13:03:00Z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